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p"/>
    <w:bookmarkEnd w:id="0"/>
    <w:p w14:paraId="2416274A" w14:textId="77777777" w:rsidR="00C67721" w:rsidRPr="00691606" w:rsidRDefault="00691606" w:rsidP="00630EEA">
      <w:pPr>
        <w:jc w:val="right"/>
        <w:rPr>
          <w:b/>
          <w:color w:val="FFFFFF" w:themeColor="background1"/>
        </w:rPr>
      </w:pPr>
      <w:r w:rsidRPr="00691606">
        <w:rPr>
          <w:b/>
          <w:color w:val="FFFFFF" w:themeColor="background1"/>
        </w:rPr>
        <w:fldChar w:fldCharType="begin"/>
      </w:r>
      <w:r w:rsidRPr="00691606">
        <w:rPr>
          <w:b/>
          <w:color w:val="FFFFFF" w:themeColor="background1"/>
        </w:rPr>
        <w:instrText xml:space="preserve"> HYPERLINK  \l "_top" </w:instrText>
      </w:r>
      <w:r w:rsidRPr="00691606">
        <w:rPr>
          <w:b/>
          <w:color w:val="FFFFFF" w:themeColor="background1"/>
        </w:rPr>
        <w:fldChar w:fldCharType="separate"/>
      </w:r>
      <w:r w:rsidRPr="00691606">
        <w:rPr>
          <w:rStyle w:val="Hyperlink"/>
          <w:b/>
          <w:color w:val="FFFFFF" w:themeColor="background1"/>
        </w:rPr>
        <w:t>Inhaltsverzeichnis</w:t>
      </w:r>
      <w:r w:rsidRPr="00691606">
        <w:rPr>
          <w:b/>
          <w:color w:val="FFFFFF" w:themeColor="background1"/>
        </w:rPr>
        <w:fldChar w:fldCharType="end"/>
      </w:r>
    </w:p>
    <w:p w14:paraId="00EE0E64" w14:textId="77777777" w:rsidR="00C67721" w:rsidRPr="00547E93" w:rsidRDefault="00DF13ED" w:rsidP="00630EEA">
      <w:pPr>
        <w:jc w:val="right"/>
        <w:rPr>
          <w:b/>
        </w:rPr>
      </w:pPr>
      <w:r w:rsidRPr="00547E93">
        <w:rPr>
          <w:b/>
        </w:rPr>
        <w:t xml:space="preserve">DStGB </w:t>
      </w:r>
      <w:r w:rsidR="000F6F77" w:rsidRPr="00547E93">
        <w:rPr>
          <w:b/>
        </w:rPr>
        <w:t xml:space="preserve">Aktuell </w:t>
      </w:r>
      <w:r w:rsidR="00C67E44">
        <w:rPr>
          <w:b/>
        </w:rPr>
        <w:t>2721</w:t>
      </w:r>
    </w:p>
    <w:p w14:paraId="47AAB0E6" w14:textId="77777777" w:rsidR="00C67721" w:rsidRPr="00547E93" w:rsidRDefault="00C67721" w:rsidP="00630EEA">
      <w:pPr>
        <w:ind w:left="360"/>
        <w:jc w:val="right"/>
      </w:pPr>
      <w:r w:rsidRPr="00547E93">
        <w:t xml:space="preserve">vom </w:t>
      </w:r>
      <w:r w:rsidR="00C67E44">
        <w:t>9. Juli 2021</w:t>
      </w:r>
    </w:p>
    <w:p w14:paraId="7A514596" w14:textId="77777777" w:rsidR="00C67721" w:rsidRPr="00547E93" w:rsidRDefault="00C67721" w:rsidP="00630EEA">
      <w:pPr>
        <w:jc w:val="right"/>
      </w:pPr>
    </w:p>
    <w:p w14:paraId="1AE79596" w14:textId="77777777" w:rsidR="00C67721" w:rsidRPr="00547E93" w:rsidRDefault="00C67721" w:rsidP="00630EEA">
      <w:pPr>
        <w:jc w:val="right"/>
      </w:pPr>
      <w:r w:rsidRPr="00547E93">
        <w:t>Seite</w:t>
      </w:r>
    </w:p>
    <w:p w14:paraId="26A67F18" w14:textId="73D509BD" w:rsidR="008F4FFE" w:rsidRDefault="00375E20">
      <w:pPr>
        <w:pStyle w:val="Verzeichnis1"/>
        <w:rPr>
          <w:rFonts w:asciiTheme="minorHAnsi" w:eastAsiaTheme="minorEastAsia" w:hAnsiTheme="minorHAnsi" w:cstheme="minorBidi"/>
          <w:sz w:val="22"/>
          <w:szCs w:val="22"/>
        </w:rPr>
      </w:pPr>
      <w:r>
        <w:fldChar w:fldCharType="begin"/>
      </w:r>
      <w:r>
        <w:instrText xml:space="preserve"> TOC \o "1-3" </w:instrText>
      </w:r>
      <w:r w:rsidR="009A35CF">
        <w:instrText xml:space="preserve">\n 1-1 </w:instrText>
      </w:r>
      <w:r>
        <w:instrText xml:space="preserve">\h \z \u </w:instrText>
      </w:r>
      <w:r>
        <w:fldChar w:fldCharType="separate"/>
      </w:r>
      <w:hyperlink w:anchor="_Toc76732598" w:history="1">
        <w:r w:rsidR="008F4FFE" w:rsidRPr="003B3354">
          <w:rPr>
            <w:rStyle w:val="Hyperlink"/>
            <w:b/>
          </w:rPr>
          <w:t>RECHT UND VERFASSUNG</w:t>
        </w:r>
      </w:hyperlink>
    </w:p>
    <w:p w14:paraId="5C6670EB" w14:textId="77A51067" w:rsidR="008F4FFE" w:rsidRDefault="008F4FFE">
      <w:pPr>
        <w:pStyle w:val="Verzeichnis3"/>
        <w:tabs>
          <w:tab w:val="left" w:pos="2552"/>
        </w:tabs>
        <w:rPr>
          <w:rFonts w:asciiTheme="minorHAnsi" w:eastAsiaTheme="minorEastAsia" w:hAnsiTheme="minorHAnsi" w:cstheme="minorBidi"/>
          <w:sz w:val="22"/>
          <w:szCs w:val="22"/>
        </w:rPr>
      </w:pPr>
      <w:hyperlink w:anchor="_Toc76732599" w:history="1">
        <w:r w:rsidRPr="003B3354">
          <w:rPr>
            <w:rStyle w:val="Hyperlink"/>
          </w:rPr>
          <w:t>2721-01</w:t>
        </w:r>
        <w:r>
          <w:rPr>
            <w:rFonts w:asciiTheme="minorHAnsi" w:eastAsiaTheme="minorEastAsia" w:hAnsiTheme="minorHAnsi" w:cstheme="minorBidi"/>
            <w:sz w:val="22"/>
            <w:szCs w:val="22"/>
          </w:rPr>
          <w:tab/>
        </w:r>
        <w:r w:rsidRPr="003B3354">
          <w:rPr>
            <w:rStyle w:val="Hyperlink"/>
          </w:rPr>
          <w:t xml:space="preserve">OVG Münster: Stadt darf Wahlplakate abhängen, </w:t>
        </w:r>
        <w:r>
          <w:rPr>
            <w:rStyle w:val="Hyperlink"/>
          </w:rPr>
          <w:t xml:space="preserve">          </w:t>
        </w:r>
        <w:r w:rsidRPr="003B3354">
          <w:rPr>
            <w:rStyle w:val="Hyperlink"/>
          </w:rPr>
          <w:t>wenn Inhalte offensichtlich strafbare Inhalte zeigen</w:t>
        </w:r>
        <w:r>
          <w:rPr>
            <w:webHidden/>
          </w:rPr>
          <w:tab/>
        </w:r>
        <w:r>
          <w:rPr>
            <w:webHidden/>
          </w:rPr>
          <w:fldChar w:fldCharType="begin"/>
        </w:r>
        <w:r>
          <w:rPr>
            <w:webHidden/>
          </w:rPr>
          <w:instrText xml:space="preserve"> PAGEREF _Toc76732599 \h </w:instrText>
        </w:r>
        <w:r>
          <w:rPr>
            <w:webHidden/>
          </w:rPr>
        </w:r>
        <w:r>
          <w:rPr>
            <w:webHidden/>
          </w:rPr>
          <w:fldChar w:fldCharType="separate"/>
        </w:r>
        <w:r w:rsidR="00462B02">
          <w:rPr>
            <w:webHidden/>
          </w:rPr>
          <w:t>3</w:t>
        </w:r>
        <w:r>
          <w:rPr>
            <w:webHidden/>
          </w:rPr>
          <w:fldChar w:fldCharType="end"/>
        </w:r>
      </w:hyperlink>
    </w:p>
    <w:p w14:paraId="6106BFDC" w14:textId="76A648DE" w:rsidR="008F4FFE" w:rsidRDefault="008F4FFE">
      <w:pPr>
        <w:pStyle w:val="Verzeichnis1"/>
        <w:rPr>
          <w:rFonts w:asciiTheme="minorHAnsi" w:eastAsiaTheme="minorEastAsia" w:hAnsiTheme="minorHAnsi" w:cstheme="minorBidi"/>
          <w:sz w:val="22"/>
          <w:szCs w:val="22"/>
        </w:rPr>
      </w:pPr>
      <w:hyperlink w:anchor="_Toc76732600" w:history="1">
        <w:r w:rsidRPr="003B3354">
          <w:rPr>
            <w:rStyle w:val="Hyperlink"/>
            <w:b/>
          </w:rPr>
          <w:t>BILDUNG, SPORT UND KULTUR</w:t>
        </w:r>
      </w:hyperlink>
    </w:p>
    <w:p w14:paraId="5AFB489E" w14:textId="36197107" w:rsidR="008F4FFE" w:rsidRDefault="008F4FFE">
      <w:pPr>
        <w:pStyle w:val="Verzeichnis3"/>
        <w:tabs>
          <w:tab w:val="left" w:pos="2552"/>
        </w:tabs>
        <w:rPr>
          <w:rFonts w:asciiTheme="minorHAnsi" w:eastAsiaTheme="minorEastAsia" w:hAnsiTheme="minorHAnsi" w:cstheme="minorBidi"/>
          <w:sz w:val="22"/>
          <w:szCs w:val="22"/>
        </w:rPr>
      </w:pPr>
      <w:hyperlink w:anchor="_Toc76732601" w:history="1">
        <w:r w:rsidRPr="003B3354">
          <w:rPr>
            <w:rStyle w:val="Hyperlink"/>
          </w:rPr>
          <w:t>0921-02</w:t>
        </w:r>
        <w:r>
          <w:rPr>
            <w:rFonts w:asciiTheme="minorHAnsi" w:eastAsiaTheme="minorEastAsia" w:hAnsiTheme="minorHAnsi" w:cstheme="minorBidi"/>
            <w:sz w:val="22"/>
            <w:szCs w:val="22"/>
          </w:rPr>
          <w:tab/>
        </w:r>
        <w:r w:rsidRPr="003B3354">
          <w:rPr>
            <w:rStyle w:val="Hyperlink"/>
          </w:rPr>
          <w:t>Neues DStGB-Positionspapier zur Kulturpolitik</w:t>
        </w:r>
        <w:r>
          <w:rPr>
            <w:webHidden/>
          </w:rPr>
          <w:tab/>
        </w:r>
        <w:r>
          <w:rPr>
            <w:webHidden/>
          </w:rPr>
          <w:fldChar w:fldCharType="begin"/>
        </w:r>
        <w:r>
          <w:rPr>
            <w:webHidden/>
          </w:rPr>
          <w:instrText xml:space="preserve"> PAGEREF _Toc76732601 \h </w:instrText>
        </w:r>
        <w:r>
          <w:rPr>
            <w:webHidden/>
          </w:rPr>
        </w:r>
        <w:r>
          <w:rPr>
            <w:webHidden/>
          </w:rPr>
          <w:fldChar w:fldCharType="separate"/>
        </w:r>
        <w:r w:rsidR="00462B02">
          <w:rPr>
            <w:webHidden/>
          </w:rPr>
          <w:t>5</w:t>
        </w:r>
        <w:r>
          <w:rPr>
            <w:webHidden/>
          </w:rPr>
          <w:fldChar w:fldCharType="end"/>
        </w:r>
      </w:hyperlink>
    </w:p>
    <w:p w14:paraId="751DAC3D" w14:textId="0F56F7ED" w:rsidR="008F4FFE" w:rsidRDefault="008F4FFE">
      <w:pPr>
        <w:pStyle w:val="Verzeichnis3"/>
        <w:tabs>
          <w:tab w:val="left" w:pos="2552"/>
        </w:tabs>
        <w:rPr>
          <w:rFonts w:asciiTheme="minorHAnsi" w:eastAsiaTheme="minorEastAsia" w:hAnsiTheme="minorHAnsi" w:cstheme="minorBidi"/>
          <w:sz w:val="22"/>
          <w:szCs w:val="22"/>
        </w:rPr>
      </w:pPr>
      <w:hyperlink w:anchor="_Toc76732602" w:history="1">
        <w:r w:rsidRPr="003B3354">
          <w:rPr>
            <w:rStyle w:val="Hyperlink"/>
          </w:rPr>
          <w:t>0921-03</w:t>
        </w:r>
        <w:r>
          <w:rPr>
            <w:rFonts w:asciiTheme="minorHAnsi" w:eastAsiaTheme="minorEastAsia" w:hAnsiTheme="minorHAnsi" w:cstheme="minorBidi"/>
            <w:sz w:val="22"/>
            <w:szCs w:val="22"/>
          </w:rPr>
          <w:tab/>
        </w:r>
        <w:r w:rsidRPr="003B3354">
          <w:rPr>
            <w:rStyle w:val="Hyperlink"/>
          </w:rPr>
          <w:t>Neues DStGB-Positionspapier zur Sportpolitik</w:t>
        </w:r>
        <w:r>
          <w:rPr>
            <w:webHidden/>
          </w:rPr>
          <w:tab/>
        </w:r>
        <w:r>
          <w:rPr>
            <w:webHidden/>
          </w:rPr>
          <w:fldChar w:fldCharType="begin"/>
        </w:r>
        <w:r>
          <w:rPr>
            <w:webHidden/>
          </w:rPr>
          <w:instrText xml:space="preserve"> PAGEREF _Toc76732602 \h </w:instrText>
        </w:r>
        <w:r>
          <w:rPr>
            <w:webHidden/>
          </w:rPr>
        </w:r>
        <w:r>
          <w:rPr>
            <w:webHidden/>
          </w:rPr>
          <w:fldChar w:fldCharType="separate"/>
        </w:r>
        <w:r w:rsidR="00462B02">
          <w:rPr>
            <w:webHidden/>
          </w:rPr>
          <w:t>6</w:t>
        </w:r>
        <w:r>
          <w:rPr>
            <w:webHidden/>
          </w:rPr>
          <w:fldChar w:fldCharType="end"/>
        </w:r>
      </w:hyperlink>
    </w:p>
    <w:p w14:paraId="0E658E02" w14:textId="44F0B6D4" w:rsidR="008F4FFE" w:rsidRDefault="008F4FFE">
      <w:pPr>
        <w:pStyle w:val="Verzeichnis1"/>
        <w:rPr>
          <w:rFonts w:asciiTheme="minorHAnsi" w:eastAsiaTheme="minorEastAsia" w:hAnsiTheme="minorHAnsi" w:cstheme="minorBidi"/>
          <w:sz w:val="22"/>
          <w:szCs w:val="22"/>
        </w:rPr>
      </w:pPr>
      <w:hyperlink w:anchor="_Toc76732603" w:history="1">
        <w:r w:rsidRPr="003B3354">
          <w:rPr>
            <w:rStyle w:val="Hyperlink"/>
            <w:b/>
          </w:rPr>
          <w:t>FINANZEN UND KOMMUNALWIRTSCHAFT</w:t>
        </w:r>
      </w:hyperlink>
    </w:p>
    <w:p w14:paraId="6905A14A" w14:textId="2C5FA3FB" w:rsidR="008F4FFE" w:rsidRDefault="008F4FFE">
      <w:pPr>
        <w:pStyle w:val="Verzeichnis3"/>
        <w:tabs>
          <w:tab w:val="left" w:pos="2552"/>
        </w:tabs>
        <w:rPr>
          <w:rFonts w:asciiTheme="minorHAnsi" w:eastAsiaTheme="minorEastAsia" w:hAnsiTheme="minorHAnsi" w:cstheme="minorBidi"/>
          <w:sz w:val="22"/>
          <w:szCs w:val="22"/>
        </w:rPr>
      </w:pPr>
      <w:hyperlink w:anchor="_Toc76732604" w:history="1">
        <w:r w:rsidRPr="003B3354">
          <w:rPr>
            <w:rStyle w:val="Hyperlink"/>
          </w:rPr>
          <w:t>2721-04</w:t>
        </w:r>
        <w:r>
          <w:rPr>
            <w:rFonts w:asciiTheme="minorHAnsi" w:eastAsiaTheme="minorEastAsia" w:hAnsiTheme="minorHAnsi" w:cstheme="minorBidi"/>
            <w:sz w:val="22"/>
            <w:szCs w:val="22"/>
          </w:rPr>
          <w:tab/>
        </w:r>
        <w:r w:rsidRPr="003B3354">
          <w:rPr>
            <w:rStyle w:val="Hyperlink"/>
          </w:rPr>
          <w:t xml:space="preserve">Verschuldung Öffentlicher Gesamthaushalt – </w:t>
        </w:r>
        <w:r>
          <w:rPr>
            <w:rStyle w:val="Hyperlink"/>
          </w:rPr>
          <w:t xml:space="preserve">                       </w:t>
        </w:r>
        <w:r w:rsidRPr="003B3354">
          <w:rPr>
            <w:rStyle w:val="Hyperlink"/>
          </w:rPr>
          <w:t>1. Quartal</w:t>
        </w:r>
        <w:r>
          <w:rPr>
            <w:webHidden/>
          </w:rPr>
          <w:tab/>
        </w:r>
        <w:r>
          <w:rPr>
            <w:webHidden/>
          </w:rPr>
          <w:fldChar w:fldCharType="begin"/>
        </w:r>
        <w:r>
          <w:rPr>
            <w:webHidden/>
          </w:rPr>
          <w:instrText xml:space="preserve"> PAGEREF _Toc76732604 \h </w:instrText>
        </w:r>
        <w:r>
          <w:rPr>
            <w:webHidden/>
          </w:rPr>
        </w:r>
        <w:r>
          <w:rPr>
            <w:webHidden/>
          </w:rPr>
          <w:fldChar w:fldCharType="separate"/>
        </w:r>
        <w:r w:rsidR="00462B02">
          <w:rPr>
            <w:webHidden/>
          </w:rPr>
          <w:t>7</w:t>
        </w:r>
        <w:r>
          <w:rPr>
            <w:webHidden/>
          </w:rPr>
          <w:fldChar w:fldCharType="end"/>
        </w:r>
      </w:hyperlink>
    </w:p>
    <w:p w14:paraId="1809876D" w14:textId="07FC9F0E" w:rsidR="008F4FFE" w:rsidRDefault="008F4FFE">
      <w:pPr>
        <w:pStyle w:val="Verzeichnis3"/>
        <w:tabs>
          <w:tab w:val="left" w:pos="2552"/>
        </w:tabs>
        <w:rPr>
          <w:rFonts w:asciiTheme="minorHAnsi" w:eastAsiaTheme="minorEastAsia" w:hAnsiTheme="minorHAnsi" w:cstheme="minorBidi"/>
          <w:sz w:val="22"/>
          <w:szCs w:val="22"/>
        </w:rPr>
      </w:pPr>
      <w:hyperlink w:anchor="_Toc76732605" w:history="1">
        <w:r w:rsidRPr="003B3354">
          <w:rPr>
            <w:rStyle w:val="Hyperlink"/>
          </w:rPr>
          <w:t>2721-05</w:t>
        </w:r>
        <w:r>
          <w:rPr>
            <w:rFonts w:asciiTheme="minorHAnsi" w:eastAsiaTheme="minorEastAsia" w:hAnsiTheme="minorHAnsi" w:cstheme="minorBidi"/>
            <w:sz w:val="22"/>
            <w:szCs w:val="22"/>
          </w:rPr>
          <w:tab/>
        </w:r>
        <w:r w:rsidRPr="003B3354">
          <w:rPr>
            <w:rStyle w:val="Hyperlink"/>
          </w:rPr>
          <w:t>Haushaltszahlen 1. Quartal 2021</w:t>
        </w:r>
        <w:r>
          <w:rPr>
            <w:webHidden/>
          </w:rPr>
          <w:tab/>
        </w:r>
        <w:r>
          <w:rPr>
            <w:webHidden/>
          </w:rPr>
          <w:fldChar w:fldCharType="begin"/>
        </w:r>
        <w:r>
          <w:rPr>
            <w:webHidden/>
          </w:rPr>
          <w:instrText xml:space="preserve"> PAGEREF _Toc76732605 \h </w:instrText>
        </w:r>
        <w:r>
          <w:rPr>
            <w:webHidden/>
          </w:rPr>
        </w:r>
        <w:r>
          <w:rPr>
            <w:webHidden/>
          </w:rPr>
          <w:fldChar w:fldCharType="separate"/>
        </w:r>
        <w:r w:rsidR="00462B02">
          <w:rPr>
            <w:webHidden/>
          </w:rPr>
          <w:t>9</w:t>
        </w:r>
        <w:r>
          <w:rPr>
            <w:webHidden/>
          </w:rPr>
          <w:fldChar w:fldCharType="end"/>
        </w:r>
      </w:hyperlink>
    </w:p>
    <w:p w14:paraId="409D1785" w14:textId="0B1E86A0" w:rsidR="008F4FFE" w:rsidRDefault="008F4FFE">
      <w:pPr>
        <w:pStyle w:val="Verzeichnis3"/>
        <w:tabs>
          <w:tab w:val="left" w:pos="2552"/>
        </w:tabs>
        <w:rPr>
          <w:rFonts w:asciiTheme="minorHAnsi" w:eastAsiaTheme="minorEastAsia" w:hAnsiTheme="minorHAnsi" w:cstheme="minorBidi"/>
          <w:sz w:val="22"/>
          <w:szCs w:val="22"/>
        </w:rPr>
      </w:pPr>
      <w:hyperlink w:anchor="_Toc76732606" w:history="1">
        <w:r w:rsidRPr="003B3354">
          <w:rPr>
            <w:rStyle w:val="Hyperlink"/>
          </w:rPr>
          <w:t>2721-06</w:t>
        </w:r>
        <w:r>
          <w:rPr>
            <w:rFonts w:asciiTheme="minorHAnsi" w:eastAsiaTheme="minorEastAsia" w:hAnsiTheme="minorHAnsi" w:cstheme="minorBidi"/>
            <w:sz w:val="22"/>
            <w:szCs w:val="22"/>
          </w:rPr>
          <w:tab/>
        </w:r>
        <w:r w:rsidRPr="003B3354">
          <w:rPr>
            <w:rStyle w:val="Hyperlink"/>
          </w:rPr>
          <w:t xml:space="preserve">Bundesnetzagentur veröffentlicht Altersreihung </w:t>
        </w:r>
        <w:r>
          <w:rPr>
            <w:rStyle w:val="Hyperlink"/>
          </w:rPr>
          <w:t xml:space="preserve">                </w:t>
        </w:r>
        <w:r w:rsidRPr="003B3354">
          <w:rPr>
            <w:rStyle w:val="Hyperlink"/>
          </w:rPr>
          <w:t>zum Kohleausstieg</w:t>
        </w:r>
        <w:r>
          <w:rPr>
            <w:webHidden/>
          </w:rPr>
          <w:tab/>
        </w:r>
        <w:r>
          <w:rPr>
            <w:webHidden/>
          </w:rPr>
          <w:fldChar w:fldCharType="begin"/>
        </w:r>
        <w:r>
          <w:rPr>
            <w:webHidden/>
          </w:rPr>
          <w:instrText xml:space="preserve"> PAGEREF _Toc76732606 \h </w:instrText>
        </w:r>
        <w:r>
          <w:rPr>
            <w:webHidden/>
          </w:rPr>
        </w:r>
        <w:r>
          <w:rPr>
            <w:webHidden/>
          </w:rPr>
          <w:fldChar w:fldCharType="separate"/>
        </w:r>
        <w:r w:rsidR="00462B02">
          <w:rPr>
            <w:webHidden/>
          </w:rPr>
          <w:t>11</w:t>
        </w:r>
        <w:r>
          <w:rPr>
            <w:webHidden/>
          </w:rPr>
          <w:fldChar w:fldCharType="end"/>
        </w:r>
      </w:hyperlink>
    </w:p>
    <w:p w14:paraId="659C28A0" w14:textId="258311B5" w:rsidR="008F4FFE" w:rsidRDefault="008F4FFE">
      <w:pPr>
        <w:pStyle w:val="Verzeichnis3"/>
        <w:tabs>
          <w:tab w:val="left" w:pos="2552"/>
        </w:tabs>
        <w:rPr>
          <w:rFonts w:asciiTheme="minorHAnsi" w:eastAsiaTheme="minorEastAsia" w:hAnsiTheme="minorHAnsi" w:cstheme="minorBidi"/>
          <w:sz w:val="22"/>
          <w:szCs w:val="22"/>
        </w:rPr>
      </w:pPr>
      <w:hyperlink w:anchor="_Toc76732607" w:history="1">
        <w:r w:rsidRPr="003B3354">
          <w:rPr>
            <w:rStyle w:val="Hyperlink"/>
          </w:rPr>
          <w:t>2721-07</w:t>
        </w:r>
        <w:r>
          <w:rPr>
            <w:rFonts w:asciiTheme="minorHAnsi" w:eastAsiaTheme="minorEastAsia" w:hAnsiTheme="minorHAnsi" w:cstheme="minorBidi"/>
            <w:sz w:val="22"/>
            <w:szCs w:val="22"/>
          </w:rPr>
          <w:tab/>
        </w:r>
        <w:r w:rsidRPr="003B3354">
          <w:rPr>
            <w:rStyle w:val="Hyperlink"/>
          </w:rPr>
          <w:t xml:space="preserve">Europäische Unternehmensförderpreise 2021: </w:t>
        </w:r>
        <w:r>
          <w:rPr>
            <w:rStyle w:val="Hyperlink"/>
          </w:rPr>
          <w:t xml:space="preserve">         </w:t>
        </w:r>
        <w:r w:rsidRPr="003B3354">
          <w:rPr>
            <w:rStyle w:val="Hyperlink"/>
          </w:rPr>
          <w:t>Deutsche Gewinnerprojekte ausgewählt</w:t>
        </w:r>
        <w:r>
          <w:rPr>
            <w:webHidden/>
          </w:rPr>
          <w:tab/>
        </w:r>
        <w:r>
          <w:rPr>
            <w:webHidden/>
          </w:rPr>
          <w:fldChar w:fldCharType="begin"/>
        </w:r>
        <w:r>
          <w:rPr>
            <w:webHidden/>
          </w:rPr>
          <w:instrText xml:space="preserve"> PAGEREF _Toc76732607 \h </w:instrText>
        </w:r>
        <w:r>
          <w:rPr>
            <w:webHidden/>
          </w:rPr>
        </w:r>
        <w:r>
          <w:rPr>
            <w:webHidden/>
          </w:rPr>
          <w:fldChar w:fldCharType="separate"/>
        </w:r>
        <w:r w:rsidR="00462B02">
          <w:rPr>
            <w:webHidden/>
          </w:rPr>
          <w:t>13</w:t>
        </w:r>
        <w:r>
          <w:rPr>
            <w:webHidden/>
          </w:rPr>
          <w:fldChar w:fldCharType="end"/>
        </w:r>
      </w:hyperlink>
    </w:p>
    <w:p w14:paraId="32CF5DC3" w14:textId="03C946C4" w:rsidR="008F4FFE" w:rsidRDefault="008F4FFE">
      <w:pPr>
        <w:pStyle w:val="Verzeichnis1"/>
        <w:rPr>
          <w:rFonts w:asciiTheme="minorHAnsi" w:eastAsiaTheme="minorEastAsia" w:hAnsiTheme="minorHAnsi" w:cstheme="minorBidi"/>
          <w:sz w:val="22"/>
          <w:szCs w:val="22"/>
        </w:rPr>
      </w:pPr>
      <w:hyperlink w:anchor="_Toc76732608" w:history="1">
        <w:r w:rsidRPr="003B3354">
          <w:rPr>
            <w:rStyle w:val="Hyperlink"/>
            <w:b/>
          </w:rPr>
          <w:t>STÄDTEBAU, VERGABE UND UMWELT</w:t>
        </w:r>
      </w:hyperlink>
    </w:p>
    <w:p w14:paraId="584CE14C" w14:textId="4DF6383F" w:rsidR="008F4FFE" w:rsidRDefault="008F4FFE">
      <w:pPr>
        <w:pStyle w:val="Verzeichnis3"/>
        <w:tabs>
          <w:tab w:val="left" w:pos="2552"/>
        </w:tabs>
        <w:rPr>
          <w:rFonts w:asciiTheme="minorHAnsi" w:eastAsiaTheme="minorEastAsia" w:hAnsiTheme="minorHAnsi" w:cstheme="minorBidi"/>
          <w:sz w:val="22"/>
          <w:szCs w:val="22"/>
        </w:rPr>
      </w:pPr>
      <w:hyperlink w:anchor="_Toc76732609" w:history="1">
        <w:r w:rsidRPr="003B3354">
          <w:rPr>
            <w:rStyle w:val="Hyperlink"/>
          </w:rPr>
          <w:t>0921-08</w:t>
        </w:r>
        <w:r>
          <w:rPr>
            <w:rFonts w:asciiTheme="minorHAnsi" w:eastAsiaTheme="minorEastAsia" w:hAnsiTheme="minorHAnsi" w:cstheme="minorBidi"/>
            <w:sz w:val="22"/>
            <w:szCs w:val="22"/>
          </w:rPr>
          <w:tab/>
        </w:r>
        <w:r w:rsidRPr="003B3354">
          <w:rPr>
            <w:rStyle w:val="Hyperlink"/>
          </w:rPr>
          <w:t>EuGH: Bei der Vergabe von Rahmenvereinbarungen müssen Auftraggeber eine Höchstmenge angeben</w:t>
        </w:r>
        <w:r>
          <w:rPr>
            <w:webHidden/>
          </w:rPr>
          <w:tab/>
        </w:r>
        <w:r>
          <w:rPr>
            <w:webHidden/>
          </w:rPr>
          <w:fldChar w:fldCharType="begin"/>
        </w:r>
        <w:r>
          <w:rPr>
            <w:webHidden/>
          </w:rPr>
          <w:instrText xml:space="preserve"> PAGEREF _Toc76732609 \h </w:instrText>
        </w:r>
        <w:r>
          <w:rPr>
            <w:webHidden/>
          </w:rPr>
        </w:r>
        <w:r>
          <w:rPr>
            <w:webHidden/>
          </w:rPr>
          <w:fldChar w:fldCharType="separate"/>
        </w:r>
        <w:r w:rsidR="00462B02">
          <w:rPr>
            <w:webHidden/>
          </w:rPr>
          <w:t>14</w:t>
        </w:r>
        <w:r>
          <w:rPr>
            <w:webHidden/>
          </w:rPr>
          <w:fldChar w:fldCharType="end"/>
        </w:r>
      </w:hyperlink>
    </w:p>
    <w:p w14:paraId="186C0A30" w14:textId="0A72727B" w:rsidR="008F4FFE" w:rsidRDefault="008F4FFE">
      <w:pPr>
        <w:pStyle w:val="Verzeichnis3"/>
        <w:tabs>
          <w:tab w:val="left" w:pos="2552"/>
        </w:tabs>
        <w:rPr>
          <w:rFonts w:asciiTheme="minorHAnsi" w:eastAsiaTheme="minorEastAsia" w:hAnsiTheme="minorHAnsi" w:cstheme="minorBidi"/>
          <w:sz w:val="22"/>
          <w:szCs w:val="22"/>
        </w:rPr>
      </w:pPr>
      <w:hyperlink w:anchor="_Toc76732610" w:history="1">
        <w:r w:rsidRPr="003B3354">
          <w:rPr>
            <w:rStyle w:val="Hyperlink"/>
          </w:rPr>
          <w:t>0921-09</w:t>
        </w:r>
        <w:r>
          <w:rPr>
            <w:rFonts w:asciiTheme="minorHAnsi" w:eastAsiaTheme="minorEastAsia" w:hAnsiTheme="minorHAnsi" w:cstheme="minorBidi"/>
            <w:sz w:val="22"/>
            <w:szCs w:val="22"/>
          </w:rPr>
          <w:tab/>
        </w:r>
        <w:r w:rsidRPr="003B3354">
          <w:rPr>
            <w:rStyle w:val="Hyperlink"/>
          </w:rPr>
          <w:t>„Zentrum KlimaAnpassung“ als Beratungsangebot für Kommunen eröffnet</w:t>
        </w:r>
        <w:r>
          <w:rPr>
            <w:webHidden/>
          </w:rPr>
          <w:tab/>
        </w:r>
        <w:r>
          <w:rPr>
            <w:webHidden/>
          </w:rPr>
          <w:fldChar w:fldCharType="begin"/>
        </w:r>
        <w:r>
          <w:rPr>
            <w:webHidden/>
          </w:rPr>
          <w:instrText xml:space="preserve"> PAGEREF _Toc76732610 \h </w:instrText>
        </w:r>
        <w:r>
          <w:rPr>
            <w:webHidden/>
          </w:rPr>
        </w:r>
        <w:r>
          <w:rPr>
            <w:webHidden/>
          </w:rPr>
          <w:fldChar w:fldCharType="separate"/>
        </w:r>
        <w:r w:rsidR="00462B02">
          <w:rPr>
            <w:webHidden/>
          </w:rPr>
          <w:t>16</w:t>
        </w:r>
        <w:r>
          <w:rPr>
            <w:webHidden/>
          </w:rPr>
          <w:fldChar w:fldCharType="end"/>
        </w:r>
      </w:hyperlink>
    </w:p>
    <w:p w14:paraId="03CF844B" w14:textId="5587C626" w:rsidR="008F4FFE" w:rsidRDefault="008F4FFE">
      <w:pPr>
        <w:pStyle w:val="Verzeichnis3"/>
        <w:tabs>
          <w:tab w:val="left" w:pos="2552"/>
        </w:tabs>
        <w:rPr>
          <w:rFonts w:asciiTheme="minorHAnsi" w:eastAsiaTheme="minorEastAsia" w:hAnsiTheme="minorHAnsi" w:cstheme="minorBidi"/>
          <w:sz w:val="22"/>
          <w:szCs w:val="22"/>
        </w:rPr>
      </w:pPr>
      <w:hyperlink w:anchor="_Toc76732611" w:history="1">
        <w:r w:rsidRPr="003B3354">
          <w:rPr>
            <w:rStyle w:val="Hyperlink"/>
          </w:rPr>
          <w:t>0921-10</w:t>
        </w:r>
        <w:r>
          <w:rPr>
            <w:rFonts w:asciiTheme="minorHAnsi" w:eastAsiaTheme="minorEastAsia" w:hAnsiTheme="minorHAnsi" w:cstheme="minorBidi"/>
            <w:sz w:val="22"/>
            <w:szCs w:val="22"/>
          </w:rPr>
          <w:tab/>
        </w:r>
        <w:r w:rsidRPr="003B3354">
          <w:rPr>
            <w:rStyle w:val="Hyperlink"/>
          </w:rPr>
          <w:t>Insektenschutzgesetz in Bundestag und im Bundesrat verabschiedet</w:t>
        </w:r>
        <w:r>
          <w:rPr>
            <w:webHidden/>
          </w:rPr>
          <w:tab/>
        </w:r>
        <w:r>
          <w:rPr>
            <w:webHidden/>
          </w:rPr>
          <w:fldChar w:fldCharType="begin"/>
        </w:r>
        <w:r>
          <w:rPr>
            <w:webHidden/>
          </w:rPr>
          <w:instrText xml:space="preserve"> PAGEREF _Toc76732611 \h </w:instrText>
        </w:r>
        <w:r>
          <w:rPr>
            <w:webHidden/>
          </w:rPr>
        </w:r>
        <w:r>
          <w:rPr>
            <w:webHidden/>
          </w:rPr>
          <w:fldChar w:fldCharType="separate"/>
        </w:r>
        <w:r w:rsidR="00462B02">
          <w:rPr>
            <w:webHidden/>
          </w:rPr>
          <w:t>18</w:t>
        </w:r>
        <w:r>
          <w:rPr>
            <w:webHidden/>
          </w:rPr>
          <w:fldChar w:fldCharType="end"/>
        </w:r>
      </w:hyperlink>
    </w:p>
    <w:p w14:paraId="4B12F535" w14:textId="542F13DE" w:rsidR="008F4FFE" w:rsidRDefault="008F4FFE">
      <w:pPr>
        <w:pStyle w:val="Verzeichnis3"/>
        <w:tabs>
          <w:tab w:val="left" w:pos="2552"/>
        </w:tabs>
        <w:rPr>
          <w:rFonts w:asciiTheme="minorHAnsi" w:eastAsiaTheme="minorEastAsia" w:hAnsiTheme="minorHAnsi" w:cstheme="minorBidi"/>
          <w:sz w:val="22"/>
          <w:szCs w:val="22"/>
        </w:rPr>
      </w:pPr>
      <w:hyperlink w:anchor="_Toc76732612" w:history="1">
        <w:r w:rsidRPr="003B3354">
          <w:rPr>
            <w:rStyle w:val="Hyperlink"/>
          </w:rPr>
          <w:t>0921-11</w:t>
        </w:r>
        <w:r>
          <w:rPr>
            <w:rFonts w:asciiTheme="minorHAnsi" w:eastAsiaTheme="minorEastAsia" w:hAnsiTheme="minorHAnsi" w:cstheme="minorBidi"/>
            <w:sz w:val="22"/>
            <w:szCs w:val="22"/>
          </w:rPr>
          <w:tab/>
        </w:r>
        <w:r w:rsidRPr="003B3354">
          <w:rPr>
            <w:rStyle w:val="Hyperlink"/>
          </w:rPr>
          <w:t>Neue Bundesförderung für effiziente Gebäude gestartet</w:t>
        </w:r>
        <w:r>
          <w:rPr>
            <w:webHidden/>
          </w:rPr>
          <w:tab/>
        </w:r>
        <w:r>
          <w:rPr>
            <w:webHidden/>
          </w:rPr>
          <w:fldChar w:fldCharType="begin"/>
        </w:r>
        <w:r>
          <w:rPr>
            <w:webHidden/>
          </w:rPr>
          <w:instrText xml:space="preserve"> PAGEREF _Toc76732612 \h </w:instrText>
        </w:r>
        <w:r>
          <w:rPr>
            <w:webHidden/>
          </w:rPr>
        </w:r>
        <w:r>
          <w:rPr>
            <w:webHidden/>
          </w:rPr>
          <w:fldChar w:fldCharType="separate"/>
        </w:r>
        <w:r w:rsidR="00462B02">
          <w:rPr>
            <w:webHidden/>
          </w:rPr>
          <w:t>20</w:t>
        </w:r>
        <w:r>
          <w:rPr>
            <w:webHidden/>
          </w:rPr>
          <w:fldChar w:fldCharType="end"/>
        </w:r>
      </w:hyperlink>
    </w:p>
    <w:p w14:paraId="3155C26E" w14:textId="2B4E33F2" w:rsidR="008F4FFE" w:rsidRDefault="008F4FFE">
      <w:pPr>
        <w:pStyle w:val="Verzeichnis1"/>
        <w:rPr>
          <w:rFonts w:asciiTheme="minorHAnsi" w:eastAsiaTheme="minorEastAsia" w:hAnsiTheme="minorHAnsi" w:cstheme="minorBidi"/>
          <w:sz w:val="22"/>
          <w:szCs w:val="22"/>
        </w:rPr>
      </w:pPr>
      <w:hyperlink w:anchor="_Toc76732613" w:history="1">
        <w:r w:rsidRPr="003B3354">
          <w:rPr>
            <w:rStyle w:val="Hyperlink"/>
            <w:b/>
          </w:rPr>
          <w:t>WIRTSCHAFT UND VERKEHR</w:t>
        </w:r>
      </w:hyperlink>
    </w:p>
    <w:p w14:paraId="4210B713" w14:textId="5948E9FB" w:rsidR="008F4FFE" w:rsidRDefault="008F4FFE">
      <w:pPr>
        <w:pStyle w:val="Verzeichnis3"/>
        <w:tabs>
          <w:tab w:val="left" w:pos="2552"/>
        </w:tabs>
        <w:rPr>
          <w:rFonts w:asciiTheme="minorHAnsi" w:eastAsiaTheme="minorEastAsia" w:hAnsiTheme="minorHAnsi" w:cstheme="minorBidi"/>
          <w:sz w:val="22"/>
          <w:szCs w:val="22"/>
        </w:rPr>
      </w:pPr>
      <w:hyperlink w:anchor="_Toc76732614" w:history="1">
        <w:r w:rsidRPr="003B3354">
          <w:rPr>
            <w:rStyle w:val="Hyperlink"/>
          </w:rPr>
          <w:t>2721-12</w:t>
        </w:r>
        <w:r>
          <w:rPr>
            <w:rFonts w:asciiTheme="minorHAnsi" w:eastAsiaTheme="minorEastAsia" w:hAnsiTheme="minorHAnsi" w:cstheme="minorBidi"/>
            <w:sz w:val="22"/>
            <w:szCs w:val="22"/>
          </w:rPr>
          <w:tab/>
        </w:r>
        <w:r w:rsidRPr="003B3354">
          <w:rPr>
            <w:rStyle w:val="Hyperlink"/>
          </w:rPr>
          <w:t>Städteinitiative Tempo 30</w:t>
        </w:r>
        <w:r>
          <w:rPr>
            <w:webHidden/>
          </w:rPr>
          <w:tab/>
        </w:r>
        <w:r>
          <w:rPr>
            <w:webHidden/>
          </w:rPr>
          <w:fldChar w:fldCharType="begin"/>
        </w:r>
        <w:r>
          <w:rPr>
            <w:webHidden/>
          </w:rPr>
          <w:instrText xml:space="preserve"> PAGEREF _Toc76732614 \h </w:instrText>
        </w:r>
        <w:r>
          <w:rPr>
            <w:webHidden/>
          </w:rPr>
        </w:r>
        <w:r>
          <w:rPr>
            <w:webHidden/>
          </w:rPr>
          <w:fldChar w:fldCharType="separate"/>
        </w:r>
        <w:r w:rsidR="00462B02">
          <w:rPr>
            <w:webHidden/>
          </w:rPr>
          <w:t>21</w:t>
        </w:r>
        <w:r>
          <w:rPr>
            <w:webHidden/>
          </w:rPr>
          <w:fldChar w:fldCharType="end"/>
        </w:r>
      </w:hyperlink>
    </w:p>
    <w:p w14:paraId="164C27D3" w14:textId="3E932C63" w:rsidR="008F4FFE" w:rsidRDefault="008F4FFE">
      <w:pPr>
        <w:pStyle w:val="Verzeichnis3"/>
        <w:tabs>
          <w:tab w:val="left" w:pos="2552"/>
        </w:tabs>
        <w:rPr>
          <w:rFonts w:asciiTheme="minorHAnsi" w:eastAsiaTheme="minorEastAsia" w:hAnsiTheme="minorHAnsi" w:cstheme="minorBidi"/>
          <w:sz w:val="22"/>
          <w:szCs w:val="22"/>
        </w:rPr>
      </w:pPr>
      <w:hyperlink w:anchor="_Toc76732615" w:history="1">
        <w:r w:rsidRPr="003B3354">
          <w:rPr>
            <w:rStyle w:val="Hyperlink"/>
          </w:rPr>
          <w:t>2721-13</w:t>
        </w:r>
        <w:r>
          <w:rPr>
            <w:rFonts w:asciiTheme="minorHAnsi" w:eastAsiaTheme="minorEastAsia" w:hAnsiTheme="minorHAnsi" w:cstheme="minorBidi"/>
            <w:sz w:val="22"/>
            <w:szCs w:val="22"/>
          </w:rPr>
          <w:tab/>
        </w:r>
        <w:r w:rsidRPr="003B3354">
          <w:rPr>
            <w:rStyle w:val="Hyperlink"/>
          </w:rPr>
          <w:t>Verkehrsunfallstatistik 2020</w:t>
        </w:r>
        <w:r>
          <w:rPr>
            <w:webHidden/>
          </w:rPr>
          <w:tab/>
        </w:r>
        <w:r>
          <w:rPr>
            <w:webHidden/>
          </w:rPr>
          <w:fldChar w:fldCharType="begin"/>
        </w:r>
        <w:r>
          <w:rPr>
            <w:webHidden/>
          </w:rPr>
          <w:instrText xml:space="preserve"> PAGEREF _Toc76732615 \h </w:instrText>
        </w:r>
        <w:r>
          <w:rPr>
            <w:webHidden/>
          </w:rPr>
        </w:r>
        <w:r>
          <w:rPr>
            <w:webHidden/>
          </w:rPr>
          <w:fldChar w:fldCharType="separate"/>
        </w:r>
        <w:r w:rsidR="00462B02">
          <w:rPr>
            <w:webHidden/>
          </w:rPr>
          <w:t>25</w:t>
        </w:r>
        <w:r>
          <w:rPr>
            <w:webHidden/>
          </w:rPr>
          <w:fldChar w:fldCharType="end"/>
        </w:r>
      </w:hyperlink>
    </w:p>
    <w:p w14:paraId="02A08DEB" w14:textId="2DB0CA56" w:rsidR="008F4FFE" w:rsidRDefault="008F4FFE">
      <w:pPr>
        <w:pStyle w:val="Verzeichnis3"/>
        <w:tabs>
          <w:tab w:val="left" w:pos="2552"/>
        </w:tabs>
        <w:rPr>
          <w:rFonts w:asciiTheme="minorHAnsi" w:eastAsiaTheme="minorEastAsia" w:hAnsiTheme="minorHAnsi" w:cstheme="minorBidi"/>
          <w:sz w:val="22"/>
          <w:szCs w:val="22"/>
        </w:rPr>
      </w:pPr>
      <w:hyperlink w:anchor="_Toc76732616" w:history="1">
        <w:r w:rsidRPr="003B3354">
          <w:rPr>
            <w:rStyle w:val="Hyperlink"/>
          </w:rPr>
          <w:t>2721-14</w:t>
        </w:r>
        <w:r>
          <w:rPr>
            <w:rFonts w:asciiTheme="minorHAnsi" w:eastAsiaTheme="minorEastAsia" w:hAnsiTheme="minorHAnsi" w:cstheme="minorBidi"/>
            <w:sz w:val="22"/>
            <w:szCs w:val="22"/>
          </w:rPr>
          <w:tab/>
        </w:r>
        <w:r w:rsidRPr="003B3354">
          <w:rPr>
            <w:rStyle w:val="Hyperlink"/>
          </w:rPr>
          <w:t xml:space="preserve">OLG Celle: Geschwindigkeitsmessungen mit </w:t>
        </w:r>
        <w:r>
          <w:rPr>
            <w:rStyle w:val="Hyperlink"/>
          </w:rPr>
          <w:t xml:space="preserve">            </w:t>
        </w:r>
        <w:r w:rsidRPr="003B3354">
          <w:rPr>
            <w:rStyle w:val="Hyperlink"/>
          </w:rPr>
          <w:t>LEIVTEC XV3 nicht immer zuverlässig genug</w:t>
        </w:r>
        <w:r>
          <w:rPr>
            <w:webHidden/>
          </w:rPr>
          <w:tab/>
        </w:r>
        <w:r>
          <w:rPr>
            <w:webHidden/>
          </w:rPr>
          <w:fldChar w:fldCharType="begin"/>
        </w:r>
        <w:r>
          <w:rPr>
            <w:webHidden/>
          </w:rPr>
          <w:instrText xml:space="preserve"> PAGEREF _Toc76732616 \h </w:instrText>
        </w:r>
        <w:r>
          <w:rPr>
            <w:webHidden/>
          </w:rPr>
        </w:r>
        <w:r>
          <w:rPr>
            <w:webHidden/>
          </w:rPr>
          <w:fldChar w:fldCharType="separate"/>
        </w:r>
        <w:r w:rsidR="00462B02">
          <w:rPr>
            <w:webHidden/>
          </w:rPr>
          <w:t>28</w:t>
        </w:r>
        <w:r>
          <w:rPr>
            <w:webHidden/>
          </w:rPr>
          <w:fldChar w:fldCharType="end"/>
        </w:r>
      </w:hyperlink>
    </w:p>
    <w:p w14:paraId="64710FB0" w14:textId="35CE07E2" w:rsidR="008F4FFE" w:rsidRDefault="008F4FFE">
      <w:pPr>
        <w:pStyle w:val="Verzeichnis1"/>
        <w:rPr>
          <w:rFonts w:asciiTheme="minorHAnsi" w:eastAsiaTheme="minorEastAsia" w:hAnsiTheme="minorHAnsi" w:cstheme="minorBidi"/>
          <w:sz w:val="22"/>
          <w:szCs w:val="22"/>
        </w:rPr>
      </w:pPr>
      <w:hyperlink w:anchor="_Toc76732617" w:history="1">
        <w:r w:rsidRPr="003B3354">
          <w:rPr>
            <w:rStyle w:val="Hyperlink"/>
            <w:b/>
          </w:rPr>
          <w:t>EUROPA UND INTERNATIONALES</w:t>
        </w:r>
      </w:hyperlink>
    </w:p>
    <w:p w14:paraId="6073D04B" w14:textId="5EA20EBC" w:rsidR="008F4FFE" w:rsidRDefault="008F4FFE">
      <w:pPr>
        <w:pStyle w:val="Verzeichnis3"/>
        <w:tabs>
          <w:tab w:val="left" w:pos="2552"/>
        </w:tabs>
        <w:rPr>
          <w:rFonts w:asciiTheme="minorHAnsi" w:eastAsiaTheme="minorEastAsia" w:hAnsiTheme="minorHAnsi" w:cstheme="minorBidi"/>
          <w:sz w:val="22"/>
          <w:szCs w:val="22"/>
        </w:rPr>
      </w:pPr>
      <w:hyperlink w:anchor="_Toc76732618" w:history="1">
        <w:r w:rsidRPr="003B3354">
          <w:rPr>
            <w:rStyle w:val="Hyperlink"/>
          </w:rPr>
          <w:t>2721-15</w:t>
        </w:r>
        <w:r>
          <w:rPr>
            <w:rFonts w:asciiTheme="minorHAnsi" w:eastAsiaTheme="minorEastAsia" w:hAnsiTheme="minorHAnsi" w:cstheme="minorBidi"/>
            <w:sz w:val="22"/>
            <w:szCs w:val="22"/>
          </w:rPr>
          <w:tab/>
        </w:r>
        <w:r w:rsidRPr="003B3354">
          <w:rPr>
            <w:rStyle w:val="Hyperlink"/>
          </w:rPr>
          <w:t>10. Jahreskonferenz der Deutsch-Griechischen Versammlung vom 3. bis 5. November in Athen</w:t>
        </w:r>
        <w:r>
          <w:rPr>
            <w:webHidden/>
          </w:rPr>
          <w:tab/>
        </w:r>
        <w:r>
          <w:rPr>
            <w:webHidden/>
          </w:rPr>
          <w:fldChar w:fldCharType="begin"/>
        </w:r>
        <w:r>
          <w:rPr>
            <w:webHidden/>
          </w:rPr>
          <w:instrText xml:space="preserve"> PAGEREF _Toc76732618 \h </w:instrText>
        </w:r>
        <w:r>
          <w:rPr>
            <w:webHidden/>
          </w:rPr>
        </w:r>
        <w:r>
          <w:rPr>
            <w:webHidden/>
          </w:rPr>
          <w:fldChar w:fldCharType="separate"/>
        </w:r>
        <w:r w:rsidR="00462B02">
          <w:rPr>
            <w:webHidden/>
          </w:rPr>
          <w:t>30</w:t>
        </w:r>
        <w:r>
          <w:rPr>
            <w:webHidden/>
          </w:rPr>
          <w:fldChar w:fldCharType="end"/>
        </w:r>
      </w:hyperlink>
    </w:p>
    <w:p w14:paraId="560AB9AB" w14:textId="65C299E3" w:rsidR="008F4FFE" w:rsidRDefault="008F4FFE">
      <w:pPr>
        <w:pStyle w:val="Verzeichnis1"/>
        <w:rPr>
          <w:rFonts w:asciiTheme="minorHAnsi" w:eastAsiaTheme="minorEastAsia" w:hAnsiTheme="minorHAnsi" w:cstheme="minorBidi"/>
          <w:sz w:val="22"/>
          <w:szCs w:val="22"/>
        </w:rPr>
      </w:pPr>
      <w:hyperlink w:anchor="_Toc76732619" w:history="1">
        <w:r w:rsidRPr="003B3354">
          <w:rPr>
            <w:rStyle w:val="Hyperlink"/>
            <w:b/>
          </w:rPr>
          <w:t>HAUPTGESCHÄFTSSTELLE</w:t>
        </w:r>
      </w:hyperlink>
    </w:p>
    <w:p w14:paraId="7481A897" w14:textId="7336BEF8" w:rsidR="008F4FFE" w:rsidRDefault="008F4FFE">
      <w:pPr>
        <w:pStyle w:val="Verzeichnis3"/>
        <w:tabs>
          <w:tab w:val="left" w:pos="2552"/>
        </w:tabs>
        <w:rPr>
          <w:rFonts w:asciiTheme="minorHAnsi" w:eastAsiaTheme="minorEastAsia" w:hAnsiTheme="minorHAnsi" w:cstheme="minorBidi"/>
          <w:sz w:val="22"/>
          <w:szCs w:val="22"/>
        </w:rPr>
      </w:pPr>
      <w:hyperlink w:anchor="_Toc76732620" w:history="1">
        <w:r w:rsidRPr="003B3354">
          <w:rPr>
            <w:rStyle w:val="Hyperlink"/>
          </w:rPr>
          <w:t>2721-16</w:t>
        </w:r>
        <w:r>
          <w:rPr>
            <w:rFonts w:asciiTheme="minorHAnsi" w:eastAsiaTheme="minorEastAsia" w:hAnsiTheme="minorHAnsi" w:cstheme="minorBidi"/>
            <w:sz w:val="22"/>
            <w:szCs w:val="22"/>
          </w:rPr>
          <w:tab/>
        </w:r>
        <w:r w:rsidRPr="003B3354">
          <w:rPr>
            <w:rStyle w:val="Hyperlink"/>
          </w:rPr>
          <w:t xml:space="preserve">Pressemitteilung: Neues bundesweites „Zentrum KlimaAnpassung“ für die Beratung von Kommunen </w:t>
        </w:r>
        <w:r>
          <w:rPr>
            <w:rStyle w:val="Hyperlink"/>
          </w:rPr>
          <w:t xml:space="preserve">    </w:t>
        </w:r>
        <w:r w:rsidRPr="003B3354">
          <w:rPr>
            <w:rStyle w:val="Hyperlink"/>
          </w:rPr>
          <w:t>eröffnet</w:t>
        </w:r>
        <w:r>
          <w:rPr>
            <w:webHidden/>
          </w:rPr>
          <w:tab/>
        </w:r>
        <w:r>
          <w:rPr>
            <w:webHidden/>
          </w:rPr>
          <w:fldChar w:fldCharType="begin"/>
        </w:r>
        <w:r>
          <w:rPr>
            <w:webHidden/>
          </w:rPr>
          <w:instrText xml:space="preserve"> PAGEREF _Toc76732620 \h </w:instrText>
        </w:r>
        <w:r>
          <w:rPr>
            <w:webHidden/>
          </w:rPr>
        </w:r>
        <w:r>
          <w:rPr>
            <w:webHidden/>
          </w:rPr>
          <w:fldChar w:fldCharType="separate"/>
        </w:r>
        <w:r w:rsidR="00462B02">
          <w:rPr>
            <w:webHidden/>
          </w:rPr>
          <w:t>31</w:t>
        </w:r>
        <w:r>
          <w:rPr>
            <w:webHidden/>
          </w:rPr>
          <w:fldChar w:fldCharType="end"/>
        </w:r>
      </w:hyperlink>
    </w:p>
    <w:p w14:paraId="2D2D9009" w14:textId="1197DC4E" w:rsidR="008F4FFE" w:rsidRDefault="008F4FFE">
      <w:pPr>
        <w:pStyle w:val="Verzeichnis3"/>
        <w:tabs>
          <w:tab w:val="left" w:pos="2552"/>
        </w:tabs>
        <w:rPr>
          <w:rFonts w:asciiTheme="minorHAnsi" w:eastAsiaTheme="minorEastAsia" w:hAnsiTheme="minorHAnsi" w:cstheme="minorBidi"/>
          <w:sz w:val="22"/>
          <w:szCs w:val="22"/>
        </w:rPr>
      </w:pPr>
      <w:hyperlink w:anchor="_Toc76732621" w:history="1">
        <w:r w:rsidRPr="003B3354">
          <w:rPr>
            <w:rStyle w:val="Hyperlink"/>
          </w:rPr>
          <w:t>2721-17</w:t>
        </w:r>
        <w:r>
          <w:rPr>
            <w:rFonts w:asciiTheme="minorHAnsi" w:eastAsiaTheme="minorEastAsia" w:hAnsiTheme="minorHAnsi" w:cstheme="minorBidi"/>
            <w:sz w:val="22"/>
            <w:szCs w:val="22"/>
          </w:rPr>
          <w:tab/>
        </w:r>
        <w:r w:rsidRPr="003B3354">
          <w:rPr>
            <w:rStyle w:val="Hyperlink"/>
          </w:rPr>
          <w:t xml:space="preserve">Statement: Impfquote weiter steigern – Einfache </w:t>
        </w:r>
        <w:r>
          <w:rPr>
            <w:rStyle w:val="Hyperlink"/>
          </w:rPr>
          <w:t xml:space="preserve">      </w:t>
        </w:r>
        <w:r w:rsidRPr="003B3354">
          <w:rPr>
            <w:rStyle w:val="Hyperlink"/>
          </w:rPr>
          <w:t>Angebote und Information entscheidend</w:t>
        </w:r>
        <w:r>
          <w:rPr>
            <w:webHidden/>
          </w:rPr>
          <w:tab/>
        </w:r>
        <w:r>
          <w:rPr>
            <w:webHidden/>
          </w:rPr>
          <w:fldChar w:fldCharType="begin"/>
        </w:r>
        <w:r>
          <w:rPr>
            <w:webHidden/>
          </w:rPr>
          <w:instrText xml:space="preserve"> PAGEREF _Toc76732621 \h </w:instrText>
        </w:r>
        <w:r>
          <w:rPr>
            <w:webHidden/>
          </w:rPr>
        </w:r>
        <w:r>
          <w:rPr>
            <w:webHidden/>
          </w:rPr>
          <w:fldChar w:fldCharType="separate"/>
        </w:r>
        <w:r w:rsidR="00462B02">
          <w:rPr>
            <w:webHidden/>
          </w:rPr>
          <w:t>34</w:t>
        </w:r>
        <w:r>
          <w:rPr>
            <w:webHidden/>
          </w:rPr>
          <w:fldChar w:fldCharType="end"/>
        </w:r>
      </w:hyperlink>
    </w:p>
    <w:p w14:paraId="47FB6164" w14:textId="271EE52C" w:rsidR="008F4FFE" w:rsidRDefault="008F4FFE">
      <w:pPr>
        <w:pStyle w:val="Verzeichnis3"/>
        <w:tabs>
          <w:tab w:val="left" w:pos="2552"/>
        </w:tabs>
        <w:rPr>
          <w:rFonts w:asciiTheme="minorHAnsi" w:eastAsiaTheme="minorEastAsia" w:hAnsiTheme="minorHAnsi" w:cstheme="minorBidi"/>
          <w:sz w:val="22"/>
          <w:szCs w:val="22"/>
        </w:rPr>
      </w:pPr>
      <w:hyperlink w:anchor="_Toc76732622" w:history="1">
        <w:r w:rsidRPr="003B3354">
          <w:rPr>
            <w:rStyle w:val="Hyperlink"/>
          </w:rPr>
          <w:t>2721-18</w:t>
        </w:r>
        <w:r>
          <w:rPr>
            <w:rFonts w:asciiTheme="minorHAnsi" w:eastAsiaTheme="minorEastAsia" w:hAnsiTheme="minorHAnsi" w:cstheme="minorBidi"/>
            <w:sz w:val="22"/>
            <w:szCs w:val="22"/>
          </w:rPr>
          <w:tab/>
        </w:r>
        <w:r w:rsidRPr="003B3354">
          <w:rPr>
            <w:rStyle w:val="Hyperlink"/>
          </w:rPr>
          <w:t xml:space="preserve">Statement: Impfungen weiter beschleunigen – </w:t>
        </w:r>
        <w:r>
          <w:rPr>
            <w:rStyle w:val="Hyperlink"/>
          </w:rPr>
          <w:t xml:space="preserve">            </w:t>
        </w:r>
        <w:r w:rsidRPr="003B3354">
          <w:rPr>
            <w:rStyle w:val="Hyperlink"/>
          </w:rPr>
          <w:t>Anreize schaffen – Bußgeldbürokratie vermeiden</w:t>
        </w:r>
        <w:r>
          <w:rPr>
            <w:webHidden/>
          </w:rPr>
          <w:tab/>
        </w:r>
        <w:r>
          <w:rPr>
            <w:webHidden/>
          </w:rPr>
          <w:fldChar w:fldCharType="begin"/>
        </w:r>
        <w:r>
          <w:rPr>
            <w:webHidden/>
          </w:rPr>
          <w:instrText xml:space="preserve"> PAGEREF _Toc76732622 \h </w:instrText>
        </w:r>
        <w:r>
          <w:rPr>
            <w:webHidden/>
          </w:rPr>
        </w:r>
        <w:r>
          <w:rPr>
            <w:webHidden/>
          </w:rPr>
          <w:fldChar w:fldCharType="separate"/>
        </w:r>
        <w:r w:rsidR="00462B02">
          <w:rPr>
            <w:webHidden/>
          </w:rPr>
          <w:t>35</w:t>
        </w:r>
        <w:r>
          <w:rPr>
            <w:webHidden/>
          </w:rPr>
          <w:fldChar w:fldCharType="end"/>
        </w:r>
      </w:hyperlink>
    </w:p>
    <w:p w14:paraId="11D4150B" w14:textId="30D49E2F" w:rsidR="008F4FFE" w:rsidRDefault="008F4FFE">
      <w:pPr>
        <w:pStyle w:val="Verzeichnis3"/>
        <w:tabs>
          <w:tab w:val="left" w:pos="2552"/>
        </w:tabs>
        <w:rPr>
          <w:rFonts w:asciiTheme="minorHAnsi" w:eastAsiaTheme="minorEastAsia" w:hAnsiTheme="minorHAnsi" w:cstheme="minorBidi"/>
          <w:sz w:val="22"/>
          <w:szCs w:val="22"/>
        </w:rPr>
      </w:pPr>
      <w:hyperlink w:anchor="_Toc76732623" w:history="1">
        <w:r w:rsidRPr="003B3354">
          <w:rPr>
            <w:rStyle w:val="Hyperlink"/>
          </w:rPr>
          <w:t>2721-19</w:t>
        </w:r>
        <w:r>
          <w:rPr>
            <w:rFonts w:asciiTheme="minorHAnsi" w:eastAsiaTheme="minorEastAsia" w:hAnsiTheme="minorHAnsi" w:cstheme="minorBidi"/>
            <w:sz w:val="22"/>
            <w:szCs w:val="22"/>
          </w:rPr>
          <w:tab/>
        </w:r>
        <w:r w:rsidRPr="003B3354">
          <w:rPr>
            <w:rStyle w:val="Hyperlink"/>
          </w:rPr>
          <w:t>Statement: Kommunaler Finanzbericht unterstreicht Notwendigkeit eines 2. Rettungsschirms</w:t>
        </w:r>
        <w:r>
          <w:rPr>
            <w:webHidden/>
          </w:rPr>
          <w:tab/>
        </w:r>
        <w:r>
          <w:rPr>
            <w:webHidden/>
          </w:rPr>
          <w:fldChar w:fldCharType="begin"/>
        </w:r>
        <w:r>
          <w:rPr>
            <w:webHidden/>
          </w:rPr>
          <w:instrText xml:space="preserve"> PAGEREF _Toc76732623 \h </w:instrText>
        </w:r>
        <w:r>
          <w:rPr>
            <w:webHidden/>
          </w:rPr>
        </w:r>
        <w:r>
          <w:rPr>
            <w:webHidden/>
          </w:rPr>
          <w:fldChar w:fldCharType="separate"/>
        </w:r>
        <w:r w:rsidR="00462B02">
          <w:rPr>
            <w:webHidden/>
          </w:rPr>
          <w:t>37</w:t>
        </w:r>
        <w:r>
          <w:rPr>
            <w:webHidden/>
          </w:rPr>
          <w:fldChar w:fldCharType="end"/>
        </w:r>
      </w:hyperlink>
    </w:p>
    <w:p w14:paraId="10380710" w14:textId="1736A06A" w:rsidR="008F4FFE" w:rsidRDefault="008F4FFE">
      <w:pPr>
        <w:pStyle w:val="Verzeichnis3"/>
        <w:tabs>
          <w:tab w:val="left" w:pos="2552"/>
        </w:tabs>
        <w:rPr>
          <w:rFonts w:asciiTheme="minorHAnsi" w:eastAsiaTheme="minorEastAsia" w:hAnsiTheme="minorHAnsi" w:cstheme="minorBidi"/>
          <w:sz w:val="22"/>
          <w:szCs w:val="22"/>
        </w:rPr>
      </w:pPr>
      <w:hyperlink w:anchor="_Toc76732624" w:history="1">
        <w:r w:rsidRPr="003B3354">
          <w:rPr>
            <w:rStyle w:val="Hyperlink"/>
          </w:rPr>
          <w:t>2721-20</w:t>
        </w:r>
        <w:r>
          <w:rPr>
            <w:rFonts w:asciiTheme="minorHAnsi" w:eastAsiaTheme="minorEastAsia" w:hAnsiTheme="minorHAnsi" w:cstheme="minorBidi"/>
            <w:sz w:val="22"/>
            <w:szCs w:val="22"/>
          </w:rPr>
          <w:tab/>
        </w:r>
        <w:r w:rsidRPr="003B3354">
          <w:rPr>
            <w:rStyle w:val="Hyperlink"/>
          </w:rPr>
          <w:t xml:space="preserve">DStGB-Veranstaltung: „Kommunen gestalten </w:t>
        </w:r>
        <w:r>
          <w:rPr>
            <w:rStyle w:val="Hyperlink"/>
          </w:rPr>
          <w:t xml:space="preserve">        </w:t>
        </w:r>
        <w:r w:rsidRPr="003B3354">
          <w:rPr>
            <w:rStyle w:val="Hyperlink"/>
          </w:rPr>
          <w:t>Ernährung“ am 22. Juli</w:t>
        </w:r>
        <w:r>
          <w:rPr>
            <w:webHidden/>
          </w:rPr>
          <w:tab/>
        </w:r>
        <w:r>
          <w:rPr>
            <w:webHidden/>
          </w:rPr>
          <w:fldChar w:fldCharType="begin"/>
        </w:r>
        <w:r>
          <w:rPr>
            <w:webHidden/>
          </w:rPr>
          <w:instrText xml:space="preserve"> PAGEREF _Toc76732624 \h </w:instrText>
        </w:r>
        <w:r>
          <w:rPr>
            <w:webHidden/>
          </w:rPr>
        </w:r>
        <w:r>
          <w:rPr>
            <w:webHidden/>
          </w:rPr>
          <w:fldChar w:fldCharType="separate"/>
        </w:r>
        <w:r w:rsidR="00462B02">
          <w:rPr>
            <w:webHidden/>
          </w:rPr>
          <w:t>38</w:t>
        </w:r>
        <w:r>
          <w:rPr>
            <w:webHidden/>
          </w:rPr>
          <w:fldChar w:fldCharType="end"/>
        </w:r>
      </w:hyperlink>
    </w:p>
    <w:p w14:paraId="5073AFE7" w14:textId="2342D8DD" w:rsidR="008F4FFE" w:rsidRDefault="008F4FFE">
      <w:pPr>
        <w:pStyle w:val="Verzeichnis3"/>
        <w:tabs>
          <w:tab w:val="left" w:pos="2552"/>
        </w:tabs>
        <w:rPr>
          <w:rFonts w:asciiTheme="minorHAnsi" w:eastAsiaTheme="minorEastAsia" w:hAnsiTheme="minorHAnsi" w:cstheme="minorBidi"/>
          <w:sz w:val="22"/>
          <w:szCs w:val="22"/>
        </w:rPr>
      </w:pPr>
      <w:hyperlink w:anchor="_Toc76732625" w:history="1">
        <w:r w:rsidRPr="003B3354">
          <w:rPr>
            <w:rStyle w:val="Hyperlink"/>
          </w:rPr>
          <w:t>2721-21</w:t>
        </w:r>
        <w:r>
          <w:rPr>
            <w:rFonts w:asciiTheme="minorHAnsi" w:eastAsiaTheme="minorEastAsia" w:hAnsiTheme="minorHAnsi" w:cstheme="minorBidi"/>
            <w:sz w:val="22"/>
            <w:szCs w:val="22"/>
          </w:rPr>
          <w:tab/>
        </w:r>
        <w:r w:rsidRPr="003B3354">
          <w:rPr>
            <w:rStyle w:val="Hyperlink"/>
          </w:rPr>
          <w:t xml:space="preserve">Bericht zur IC Lounge: „Datenstrategien &amp; </w:t>
        </w:r>
        <w:r>
          <w:rPr>
            <w:rStyle w:val="Hyperlink"/>
          </w:rPr>
          <w:t xml:space="preserve">   </w:t>
        </w:r>
        <w:r w:rsidRPr="003B3354">
          <w:rPr>
            <w:rStyle w:val="Hyperlink"/>
          </w:rPr>
          <w:t>Dateninfrastruktur für digitale Kommunen“</w:t>
        </w:r>
        <w:r>
          <w:rPr>
            <w:webHidden/>
          </w:rPr>
          <w:tab/>
        </w:r>
        <w:r>
          <w:rPr>
            <w:webHidden/>
          </w:rPr>
          <w:fldChar w:fldCharType="begin"/>
        </w:r>
        <w:r>
          <w:rPr>
            <w:webHidden/>
          </w:rPr>
          <w:instrText xml:space="preserve"> PAGEREF _Toc76732625 \h </w:instrText>
        </w:r>
        <w:r>
          <w:rPr>
            <w:webHidden/>
          </w:rPr>
        </w:r>
        <w:r>
          <w:rPr>
            <w:webHidden/>
          </w:rPr>
          <w:fldChar w:fldCharType="separate"/>
        </w:r>
        <w:r w:rsidR="00462B02">
          <w:rPr>
            <w:webHidden/>
          </w:rPr>
          <w:t>40</w:t>
        </w:r>
        <w:r>
          <w:rPr>
            <w:webHidden/>
          </w:rPr>
          <w:fldChar w:fldCharType="end"/>
        </w:r>
      </w:hyperlink>
    </w:p>
    <w:p w14:paraId="01300883" w14:textId="7C40C78C" w:rsidR="008F4FFE" w:rsidRDefault="008F4FFE">
      <w:pPr>
        <w:pStyle w:val="Verzeichnis3"/>
        <w:tabs>
          <w:tab w:val="left" w:pos="2552"/>
        </w:tabs>
        <w:rPr>
          <w:rFonts w:asciiTheme="minorHAnsi" w:eastAsiaTheme="minorEastAsia" w:hAnsiTheme="minorHAnsi" w:cstheme="minorBidi"/>
          <w:sz w:val="22"/>
          <w:szCs w:val="22"/>
        </w:rPr>
      </w:pPr>
      <w:hyperlink w:anchor="_Toc76732626" w:history="1">
        <w:r w:rsidRPr="003B3354">
          <w:rPr>
            <w:rStyle w:val="Hyperlink"/>
          </w:rPr>
          <w:t>2721-22</w:t>
        </w:r>
        <w:r>
          <w:rPr>
            <w:rFonts w:asciiTheme="minorHAnsi" w:eastAsiaTheme="minorEastAsia" w:hAnsiTheme="minorHAnsi" w:cstheme="minorBidi"/>
            <w:sz w:val="22"/>
            <w:szCs w:val="22"/>
          </w:rPr>
          <w:tab/>
        </w:r>
        <w:r w:rsidRPr="003B3354">
          <w:rPr>
            <w:rStyle w:val="Hyperlink"/>
          </w:rPr>
          <w:t>Zehn-Minuten-Internet-Newsletter</w:t>
        </w:r>
        <w:r>
          <w:rPr>
            <w:webHidden/>
          </w:rPr>
          <w:tab/>
        </w:r>
        <w:r>
          <w:rPr>
            <w:webHidden/>
          </w:rPr>
          <w:fldChar w:fldCharType="begin"/>
        </w:r>
        <w:r>
          <w:rPr>
            <w:webHidden/>
          </w:rPr>
          <w:instrText xml:space="preserve"> PAGEREF _Toc76732626 \h </w:instrText>
        </w:r>
        <w:r>
          <w:rPr>
            <w:webHidden/>
          </w:rPr>
        </w:r>
        <w:r>
          <w:rPr>
            <w:webHidden/>
          </w:rPr>
          <w:fldChar w:fldCharType="separate"/>
        </w:r>
        <w:r w:rsidR="00462B02">
          <w:rPr>
            <w:webHidden/>
          </w:rPr>
          <w:t>42</w:t>
        </w:r>
        <w:r>
          <w:rPr>
            <w:webHidden/>
          </w:rPr>
          <w:fldChar w:fldCharType="end"/>
        </w:r>
      </w:hyperlink>
    </w:p>
    <w:p w14:paraId="2AC34A08" w14:textId="31DFF502" w:rsidR="008F4FFE" w:rsidRDefault="008F4FFE">
      <w:pPr>
        <w:pStyle w:val="Verzeichnis1"/>
        <w:rPr>
          <w:rFonts w:asciiTheme="minorHAnsi" w:eastAsiaTheme="minorEastAsia" w:hAnsiTheme="minorHAnsi" w:cstheme="minorBidi"/>
          <w:sz w:val="22"/>
          <w:szCs w:val="22"/>
        </w:rPr>
      </w:pPr>
      <w:hyperlink w:anchor="_Toc76732627" w:history="1">
        <w:r w:rsidRPr="003B3354">
          <w:rPr>
            <w:rStyle w:val="Hyperlink"/>
            <w:b/>
          </w:rPr>
          <w:t>TERMINANKÜNDIGUNGEN</w:t>
        </w:r>
      </w:hyperlink>
    </w:p>
    <w:p w14:paraId="20FBD07A" w14:textId="5B42D336" w:rsidR="008F4FFE" w:rsidRDefault="008F4FFE">
      <w:pPr>
        <w:pStyle w:val="Verzeichnis3"/>
        <w:tabs>
          <w:tab w:val="left" w:pos="2552"/>
        </w:tabs>
        <w:rPr>
          <w:rFonts w:asciiTheme="minorHAnsi" w:eastAsiaTheme="minorEastAsia" w:hAnsiTheme="minorHAnsi" w:cstheme="minorBidi"/>
          <w:sz w:val="22"/>
          <w:szCs w:val="22"/>
        </w:rPr>
      </w:pPr>
      <w:hyperlink w:anchor="_Toc76732628" w:history="1">
        <w:r w:rsidRPr="003B3354">
          <w:rPr>
            <w:rStyle w:val="Hyperlink"/>
          </w:rPr>
          <w:t>2721-23</w:t>
        </w:r>
        <w:r>
          <w:rPr>
            <w:rFonts w:asciiTheme="minorHAnsi" w:eastAsiaTheme="minorEastAsia" w:hAnsiTheme="minorHAnsi" w:cstheme="minorBidi"/>
            <w:sz w:val="22"/>
            <w:szCs w:val="22"/>
          </w:rPr>
          <w:tab/>
        </w:r>
        <w:r w:rsidRPr="003B3354">
          <w:rPr>
            <w:rStyle w:val="Hyperlink"/>
          </w:rPr>
          <w:t>TERMINVORSCHAU 2021</w:t>
        </w:r>
        <w:r>
          <w:rPr>
            <w:webHidden/>
          </w:rPr>
          <w:tab/>
        </w:r>
        <w:r>
          <w:rPr>
            <w:webHidden/>
          </w:rPr>
          <w:fldChar w:fldCharType="begin"/>
        </w:r>
        <w:r>
          <w:rPr>
            <w:webHidden/>
          </w:rPr>
          <w:instrText xml:space="preserve"> PAGEREF _Toc76732628 \h </w:instrText>
        </w:r>
        <w:r>
          <w:rPr>
            <w:webHidden/>
          </w:rPr>
        </w:r>
        <w:r>
          <w:rPr>
            <w:webHidden/>
          </w:rPr>
          <w:fldChar w:fldCharType="separate"/>
        </w:r>
        <w:r w:rsidR="00462B02">
          <w:rPr>
            <w:webHidden/>
          </w:rPr>
          <w:t>43</w:t>
        </w:r>
        <w:r>
          <w:rPr>
            <w:webHidden/>
          </w:rPr>
          <w:fldChar w:fldCharType="end"/>
        </w:r>
      </w:hyperlink>
    </w:p>
    <w:p w14:paraId="19A3B514" w14:textId="7779A6CE" w:rsidR="00E52FE7" w:rsidRPr="00547E93" w:rsidRDefault="00375E20" w:rsidP="008542D3">
      <w:pPr>
        <w:tabs>
          <w:tab w:val="left" w:pos="2268"/>
          <w:tab w:val="left" w:pos="2552"/>
          <w:tab w:val="left" w:pos="2835"/>
          <w:tab w:val="right" w:pos="9071"/>
        </w:tabs>
        <w:ind w:left="2552" w:hanging="1418"/>
        <w:rPr>
          <w:b/>
        </w:rPr>
      </w:pPr>
      <w:r>
        <w:rPr>
          <w:noProof/>
          <w:sz w:val="36"/>
        </w:rPr>
        <w:fldChar w:fldCharType="end"/>
      </w:r>
      <w:r w:rsidR="00E35864" w:rsidRPr="00547E93">
        <w:br w:type="page"/>
      </w:r>
    </w:p>
    <w:p w14:paraId="38667D55" w14:textId="77777777" w:rsidR="009B636E" w:rsidRPr="00547E93" w:rsidRDefault="009B636E" w:rsidP="009B636E">
      <w:pPr>
        <w:pStyle w:val="berschrift1"/>
        <w:rPr>
          <w:b/>
        </w:rPr>
      </w:pPr>
      <w:bookmarkStart w:id="1" w:name="_Toc502842251"/>
      <w:bookmarkStart w:id="2" w:name="_Toc16850678"/>
      <w:bookmarkStart w:id="3" w:name="_Toc76732598"/>
      <w:r>
        <w:rPr>
          <w:b/>
        </w:rPr>
        <w:lastRenderedPageBreak/>
        <w:t>RECHT UND VERFASSUN</w:t>
      </w:r>
      <w:bookmarkEnd w:id="1"/>
      <w:r>
        <w:rPr>
          <w:b/>
        </w:rPr>
        <w:t>G</w:t>
      </w:r>
      <w:bookmarkEnd w:id="2"/>
      <w:bookmarkEnd w:id="3"/>
    </w:p>
    <w:p w14:paraId="4EE30124" w14:textId="77777777" w:rsidR="009B636E" w:rsidRPr="00547E93" w:rsidRDefault="009B636E" w:rsidP="009B636E">
      <w:pPr>
        <w:tabs>
          <w:tab w:val="left" w:pos="1418"/>
        </w:tabs>
        <w:rPr>
          <w:b/>
          <w:sz w:val="28"/>
          <w:szCs w:val="28"/>
        </w:rPr>
      </w:pPr>
    </w:p>
    <w:p w14:paraId="75AFA50E" w14:textId="77777777" w:rsidR="00026674" w:rsidRPr="00026674" w:rsidRDefault="00C67E44" w:rsidP="00026674">
      <w:pPr>
        <w:pStyle w:val="2"/>
        <w:spacing w:before="0" w:after="0"/>
      </w:pPr>
      <w:bookmarkStart w:id="4" w:name="_Toc16850679"/>
      <w:bookmarkStart w:id="5" w:name="_Toc76732599"/>
      <w:r>
        <w:t>2721</w:t>
      </w:r>
      <w:r w:rsidR="009B636E" w:rsidRPr="00547E93">
        <w:t>-</w:t>
      </w:r>
      <w:r w:rsidR="009B636E">
        <w:t>0</w:t>
      </w:r>
      <w:r w:rsidR="00DD014D">
        <w:t>1</w:t>
      </w:r>
      <w:r w:rsidR="009B636E" w:rsidRPr="00547E93">
        <w:tab/>
      </w:r>
      <w:bookmarkEnd w:id="4"/>
      <w:r w:rsidR="00026674">
        <w:rPr>
          <w:rFonts w:cs="Arial"/>
        </w:rPr>
        <w:t>OVG Münster: Stadt darf Wahlplakate abhängen, wenn Inhalte offensichtlich strafbare Inhalte zeigen</w:t>
      </w:r>
      <w:bookmarkEnd w:id="5"/>
    </w:p>
    <w:p w14:paraId="6E5C0843" w14:textId="77777777" w:rsidR="00026674" w:rsidRDefault="00026674" w:rsidP="00DD014D">
      <w:pPr>
        <w:ind w:left="1418"/>
        <w:rPr>
          <w:b/>
          <w:bCs/>
        </w:rPr>
      </w:pPr>
    </w:p>
    <w:p w14:paraId="5BB5EE0C" w14:textId="77777777" w:rsidR="00026674" w:rsidRDefault="00026674" w:rsidP="00DD014D">
      <w:pPr>
        <w:ind w:left="1418"/>
        <w:jc w:val="both"/>
        <w:rPr>
          <w:b/>
          <w:bCs/>
        </w:rPr>
      </w:pPr>
      <w:r>
        <w:rPr>
          <w:b/>
          <w:bCs/>
        </w:rPr>
        <w:t xml:space="preserve">Das Oberverwaltungsgericht (OVG) Münster hat in einem Berufungsverfahren der Stadt Mönchengladbach entschieden, dass die Anordnung bestimmte Wahlplakate abzuhängen, zulässig ist, wenn eine straffreie Auslegung des Inhalts nicht in Betracht kommt. </w:t>
      </w:r>
    </w:p>
    <w:p w14:paraId="6D7A1800" w14:textId="77777777" w:rsidR="00026674" w:rsidRDefault="00026674" w:rsidP="00026674">
      <w:pPr>
        <w:ind w:left="1418"/>
        <w:jc w:val="both"/>
      </w:pPr>
    </w:p>
    <w:p w14:paraId="7FF7A970" w14:textId="77777777" w:rsidR="00026674" w:rsidRDefault="00026674" w:rsidP="00026674">
      <w:pPr>
        <w:ind w:left="1418"/>
        <w:jc w:val="both"/>
      </w:pPr>
      <w:r w:rsidRPr="002E7176">
        <w:t xml:space="preserve">Das </w:t>
      </w:r>
      <w:r>
        <w:t>Oberverwaltungsgericht</w:t>
      </w:r>
      <w:r w:rsidRPr="002E7176">
        <w:t xml:space="preserve"> (O</w:t>
      </w:r>
      <w:r>
        <w:t>V</w:t>
      </w:r>
      <w:r w:rsidRPr="002E7176">
        <w:t xml:space="preserve">G) </w:t>
      </w:r>
      <w:r>
        <w:t>Münster</w:t>
      </w:r>
      <w:r w:rsidRPr="002E7176">
        <w:t xml:space="preserve"> wies </w:t>
      </w:r>
      <w:r>
        <w:t>eine</w:t>
      </w:r>
      <w:r w:rsidRPr="002E7176">
        <w:t xml:space="preserve"> Klage </w:t>
      </w:r>
      <w:r>
        <w:t>eines</w:t>
      </w:r>
      <w:r w:rsidRPr="002E7176">
        <w:t xml:space="preserve"> </w:t>
      </w:r>
      <w:r>
        <w:t>NPD Kreisverbandes ab, der die Feststellung begehrte, dass die Stadt Mönchengladbach zu Unrecht vom Kläger das Abhängen von Wahlplakaten mit dem Slogan „</w:t>
      </w:r>
      <w:r w:rsidRPr="009255A4">
        <w:t>Stoppt die Invasion: Migration tötet“</w:t>
      </w:r>
      <w:r>
        <w:t xml:space="preserve"> verlangt hat, ab. (</w:t>
      </w:r>
      <w:r w:rsidRPr="002E7176">
        <w:t xml:space="preserve">Urt. v. </w:t>
      </w:r>
      <w:r>
        <w:t>7</w:t>
      </w:r>
      <w:r w:rsidRPr="002E7176">
        <w:t>.</w:t>
      </w:r>
      <w:r>
        <w:t>7</w:t>
      </w:r>
      <w:r w:rsidRPr="002E7176">
        <w:t xml:space="preserve">.2021, Az. </w:t>
      </w:r>
      <w:r w:rsidRPr="009255A4">
        <w:t>5 A 1386/20</w:t>
      </w:r>
      <w:r>
        <w:t xml:space="preserve">) </w:t>
      </w:r>
    </w:p>
    <w:p w14:paraId="5B2C2E30" w14:textId="77777777" w:rsidR="00026674" w:rsidRDefault="00026674" w:rsidP="00026674">
      <w:pPr>
        <w:ind w:left="1418"/>
        <w:jc w:val="both"/>
      </w:pPr>
    </w:p>
    <w:p w14:paraId="48F4D50F" w14:textId="77777777" w:rsidR="00026674" w:rsidRPr="009255A4" w:rsidRDefault="00026674" w:rsidP="00026674">
      <w:pPr>
        <w:ind w:left="1418"/>
        <w:jc w:val="both"/>
      </w:pPr>
      <w:r>
        <w:rPr>
          <w:b/>
          <w:bCs/>
        </w:rPr>
        <w:t xml:space="preserve">Sachverhalt: </w:t>
      </w:r>
      <w:r>
        <w:t>Im Wahlkampf zur Europawahl im</w:t>
      </w:r>
      <w:r w:rsidRPr="009255A4">
        <w:t xml:space="preserve"> Mai 2019 nutzte </w:t>
      </w:r>
      <w:r>
        <w:t>der klagende NPD Kreisverband</w:t>
      </w:r>
      <w:r w:rsidRPr="009255A4">
        <w:t xml:space="preserve"> Plakate mit </w:t>
      </w:r>
      <w:r>
        <w:t>dem streitgegenständlichen</w:t>
      </w:r>
      <w:r w:rsidRPr="009255A4">
        <w:t xml:space="preserve"> Wahlkampfslogan. Im Hintergrund waren die Namen zahlreicher Orte zu sehen, in denen Migranten Tötungsdelikte gegen deutsche Staatsbürger begangen haben sollen. Die Stadt Mönchengladbach forderte den Kläger auf, diese Plakate kurzfristig zu entfernen. Der Kläger kam dem nach. Er hat jedoch im Klageweg die Feststellung begehrt, dass die Anordnung rechtswidrig gewesen sei. Das Verwaltungsgericht Düsseldorf hat die Klage abgewiesen.</w:t>
      </w:r>
    </w:p>
    <w:p w14:paraId="739E7052" w14:textId="77777777" w:rsidR="00026674" w:rsidRPr="009255A4" w:rsidRDefault="00026674" w:rsidP="00026674">
      <w:pPr>
        <w:ind w:left="1418"/>
        <w:jc w:val="both"/>
      </w:pPr>
    </w:p>
    <w:p w14:paraId="2047EBC2" w14:textId="0DF8BF07" w:rsidR="00026674" w:rsidRDefault="00026674" w:rsidP="00026674">
      <w:pPr>
        <w:ind w:left="1418"/>
        <w:jc w:val="both"/>
      </w:pPr>
      <w:r w:rsidRPr="009255A4">
        <w:rPr>
          <w:b/>
          <w:bCs/>
        </w:rPr>
        <w:t>Aus den Gründen</w:t>
      </w:r>
      <w:r>
        <w:t xml:space="preserve">: Das Gericht hat die Berufung der Kläger abgelehnt und ausgeführt, dass die konkrete Gestaltung des Plakates mit den zentralen Aussagen und dem Hintergrundtext den Straftatbestand der Volksverhetzung erfüllen. Der weite Spielraum </w:t>
      </w:r>
      <w:r w:rsidR="004725CE">
        <w:t>der Meinungsfreiheit des Art. 5 </w:t>
      </w:r>
      <w:r>
        <w:t xml:space="preserve">I GG, welcher insbesondere in Wahlkampfzeiten auch zugespitzte und polemische Äußerungen umfasse, komme grundsätzlich dann nicht in Betracht, wenn keine straffreie Auslegung möglich sei. Das Gericht kam in vorliegendem Fall zur Schlussfolgerung, dass sich unter </w:t>
      </w:r>
      <w:r w:rsidRPr="00CA6E0B">
        <w:t>Einbeziehung des Kontextes, der sich dem Betrachter aufdräng</w:t>
      </w:r>
      <w:r>
        <w:t>e,</w:t>
      </w:r>
      <w:r w:rsidRPr="00CA6E0B">
        <w:t xml:space="preserve"> allein ein strafbarer Inhalt</w:t>
      </w:r>
      <w:r>
        <w:t xml:space="preserve"> ergibt</w:t>
      </w:r>
      <w:r w:rsidRPr="00CA6E0B">
        <w:t>. Das Wahlplakat ziel</w:t>
      </w:r>
      <w:r>
        <w:t>e</w:t>
      </w:r>
      <w:r w:rsidRPr="00CA6E0B">
        <w:t xml:space="preserve"> darauf ab, alle Migranten mit Mördern gleichzusetzen, vor denen Deutsche überall Angst haben müssten. Durch die Aufzählung von Orten und das Anschneiden der Ortsnamen entsteht zudem der Eindruck, dass es sich um eine Vielzahl an Vorfällen handelt. Dies negiert in der Gesamtschau die Menschenwürde der hier lebenden Migranten und ist geeignet, durch das Schüren von Hass den öffentlichen Frieden zu beeinträchtigen.</w:t>
      </w:r>
    </w:p>
    <w:p w14:paraId="022C2F99" w14:textId="77777777" w:rsidR="00026674" w:rsidRDefault="00026674" w:rsidP="00026674">
      <w:pPr>
        <w:ind w:left="1418"/>
        <w:jc w:val="both"/>
      </w:pPr>
    </w:p>
    <w:p w14:paraId="742AA3F2" w14:textId="77777777" w:rsidR="00DD014D" w:rsidRDefault="00026674" w:rsidP="00026674">
      <w:pPr>
        <w:ind w:left="1418"/>
        <w:jc w:val="both"/>
      </w:pPr>
      <w:r w:rsidRPr="00CA6E0B">
        <w:t xml:space="preserve">Der Senat hat wegen </w:t>
      </w:r>
      <w:r>
        <w:t xml:space="preserve">der </w:t>
      </w:r>
      <w:r w:rsidRPr="00CA6E0B">
        <w:t>grundsätzliche</w:t>
      </w:r>
      <w:r>
        <w:t>n</w:t>
      </w:r>
      <w:r w:rsidRPr="00CA6E0B">
        <w:t xml:space="preserve"> Bedeutung die Revision zum Bundesverwaltungsgericht zugelassen, weil die Frage der strafrechtlichen Bewertung des Plakats durch die Verwaltungs- und auch die Straf</w:t>
      </w:r>
      <w:r w:rsidR="00DD014D">
        <w:t>-</w:t>
      </w:r>
    </w:p>
    <w:p w14:paraId="22E070EE" w14:textId="77777777" w:rsidR="00DD014D" w:rsidRDefault="00DD014D">
      <w:r>
        <w:br w:type="page"/>
      </w:r>
    </w:p>
    <w:p w14:paraId="1759282A" w14:textId="77777777" w:rsidR="00026674" w:rsidRPr="00CA6E0B" w:rsidRDefault="00026674" w:rsidP="00026674">
      <w:pPr>
        <w:ind w:left="1418"/>
        <w:jc w:val="both"/>
      </w:pPr>
      <w:r w:rsidRPr="00CA6E0B">
        <w:lastRenderedPageBreak/>
        <w:t>gerichte nicht einheitlich ausfällt. Der Kläger hat die Revision bereits eingelegt.</w:t>
      </w:r>
    </w:p>
    <w:p w14:paraId="52669498" w14:textId="77777777" w:rsidR="00026674" w:rsidRPr="00FC78E1" w:rsidRDefault="00026674" w:rsidP="00026674">
      <w:pPr>
        <w:ind w:left="1418"/>
        <w:jc w:val="both"/>
      </w:pPr>
    </w:p>
    <w:p w14:paraId="445F740B" w14:textId="77777777" w:rsidR="00026674" w:rsidRPr="007A5B74" w:rsidRDefault="00026674" w:rsidP="00026674">
      <w:pPr>
        <w:ind w:left="1418"/>
        <w:jc w:val="both"/>
      </w:pPr>
      <w:r w:rsidRPr="007A5B74">
        <w:t>(</w:t>
      </w:r>
      <w:r>
        <w:t xml:space="preserve">I/4 </w:t>
      </w:r>
      <w:r w:rsidRPr="007A5B74">
        <w:t>Marc Elxnat</w:t>
      </w:r>
      <w:r>
        <w:t>, 07.07.2021</w:t>
      </w:r>
      <w:r w:rsidRPr="007A5B74">
        <w:t>)</w:t>
      </w:r>
    </w:p>
    <w:p w14:paraId="1CF3A842" w14:textId="77777777" w:rsidR="009B636E" w:rsidRDefault="009B636E" w:rsidP="009B636E">
      <w:pPr>
        <w:ind w:left="1418"/>
      </w:pPr>
    </w:p>
    <w:p w14:paraId="4A8AB2C9" w14:textId="77777777" w:rsidR="009B636E" w:rsidRDefault="009B636E" w:rsidP="009B636E">
      <w:pPr>
        <w:ind w:left="1418"/>
      </w:pPr>
    </w:p>
    <w:p w14:paraId="45F99572" w14:textId="77777777" w:rsidR="007C7F42" w:rsidRDefault="007C7F42" w:rsidP="009B636E">
      <w:pPr>
        <w:jc w:val="right"/>
      </w:pPr>
    </w:p>
    <w:p w14:paraId="12E71ABF" w14:textId="77777777" w:rsidR="009B636E" w:rsidRDefault="00462B02" w:rsidP="009B636E">
      <w:pPr>
        <w:jc w:val="right"/>
        <w:rPr>
          <w:rStyle w:val="Hyperlink"/>
          <w:b/>
          <w:color w:val="auto"/>
          <w:sz w:val="18"/>
        </w:rPr>
      </w:pPr>
      <w:hyperlink w:anchor="_top" w:history="1">
        <w:r w:rsidR="009B636E" w:rsidRPr="0028439B">
          <w:rPr>
            <w:rStyle w:val="Hyperlink"/>
            <w:b/>
            <w:color w:val="auto"/>
            <w:sz w:val="18"/>
          </w:rPr>
          <w:t>Inhaltsverzeichnis</w:t>
        </w:r>
      </w:hyperlink>
    </w:p>
    <w:p w14:paraId="46F9CD2E" w14:textId="77777777" w:rsidR="00DD014D" w:rsidRDefault="00DD014D">
      <w:pPr>
        <w:rPr>
          <w:b/>
          <w:sz w:val="18"/>
        </w:rPr>
      </w:pPr>
      <w:r>
        <w:rPr>
          <w:b/>
          <w:sz w:val="18"/>
        </w:rPr>
        <w:br w:type="page"/>
      </w:r>
    </w:p>
    <w:p w14:paraId="78413599" w14:textId="77777777" w:rsidR="00FF2EE5" w:rsidRPr="00547E93" w:rsidRDefault="00FF2EE5" w:rsidP="00FF2EE5">
      <w:pPr>
        <w:pStyle w:val="berschrift1"/>
        <w:rPr>
          <w:b/>
        </w:rPr>
      </w:pPr>
      <w:bookmarkStart w:id="6" w:name="_Toc76732600"/>
      <w:r>
        <w:rPr>
          <w:b/>
        </w:rPr>
        <w:lastRenderedPageBreak/>
        <w:t>BILDUNG, SPORT UND KULTUR</w:t>
      </w:r>
      <w:bookmarkEnd w:id="6"/>
    </w:p>
    <w:p w14:paraId="78B23141" w14:textId="77777777" w:rsidR="00FF2EE5" w:rsidRPr="00547E93" w:rsidRDefault="00FF2EE5" w:rsidP="00FF2EE5">
      <w:pPr>
        <w:tabs>
          <w:tab w:val="left" w:pos="1418"/>
        </w:tabs>
        <w:rPr>
          <w:b/>
          <w:sz w:val="28"/>
          <w:szCs w:val="28"/>
        </w:rPr>
      </w:pPr>
    </w:p>
    <w:p w14:paraId="6718826C" w14:textId="6A76F965" w:rsidR="00FF2EE5" w:rsidRDefault="00FF2EE5" w:rsidP="00FF2EE5">
      <w:pPr>
        <w:pStyle w:val="2"/>
        <w:spacing w:before="0" w:after="0"/>
      </w:pPr>
      <w:bookmarkStart w:id="7" w:name="_Toc76732601"/>
      <w:r>
        <w:t>0921</w:t>
      </w:r>
      <w:r w:rsidRPr="00547E93">
        <w:t>-</w:t>
      </w:r>
      <w:r>
        <w:t>02</w:t>
      </w:r>
      <w:r w:rsidRPr="00547E93">
        <w:tab/>
      </w:r>
      <w:r w:rsidR="00E8737E">
        <w:t>Neues DStGB-</w:t>
      </w:r>
      <w:r w:rsidR="00DD014D">
        <w:t>Positionspapier zur Kulturpolitik</w:t>
      </w:r>
      <w:bookmarkEnd w:id="7"/>
    </w:p>
    <w:p w14:paraId="32505429" w14:textId="77777777" w:rsidR="00FF2EE5" w:rsidRDefault="00FF2EE5" w:rsidP="00FF2EE5">
      <w:pPr>
        <w:ind w:left="1418"/>
      </w:pPr>
    </w:p>
    <w:p w14:paraId="7F410FAD" w14:textId="77777777" w:rsidR="00E8737E" w:rsidRPr="00E8737E" w:rsidRDefault="00E8737E" w:rsidP="00E8737E">
      <w:pPr>
        <w:ind w:left="1418"/>
        <w:jc w:val="both"/>
      </w:pPr>
      <w:r w:rsidRPr="00E8737E">
        <w:t xml:space="preserve">Kunst und Kultur bereichern das Leben unabhängig von Alter, Herkunft oder Wohnort. Sie leisten einen Beitrag zu gesellschaftlichem Zusammenhalt, bieten Orte der Begegnung und des Austauschs zwischen den Generationen ebenso wie zwischen verschiedenen gesellschaftlichen Gruppen. Kultur bietet so eine geistige Heimat, stiftet Identität, schafft Gemeinschaft und prägt damit das gesellschaftliche Zusammenleben. Kulturelle Bildung leistet einen Beitrag zur Demokratieförderung. Alles dies sind Gründe, warum die Städte und Gemeinden die vielfältigen kulturellen Angebote vor Ort schaffen, erhalten und unterstützen sollten. Unbeschadet der Einordnung der Kultur als freiwillige Selbstverwaltungsaufgabe stehen die Städte und Gemeinden in der Pflicht, Kulturangebote als fester Bestandteil der kommunalen Daseinsvorsorge zu fördern. </w:t>
      </w:r>
    </w:p>
    <w:p w14:paraId="4EB96416" w14:textId="77777777" w:rsidR="00FF2EE5" w:rsidRDefault="00FF2EE5" w:rsidP="00FF2EE5">
      <w:pPr>
        <w:ind w:left="1418"/>
      </w:pPr>
    </w:p>
    <w:p w14:paraId="22C5D134" w14:textId="42239927" w:rsidR="00DD014D" w:rsidRDefault="00E8737E" w:rsidP="00E8737E">
      <w:pPr>
        <w:ind w:left="1418"/>
        <w:jc w:val="both"/>
      </w:pPr>
      <w:r>
        <w:t>Das neue Positionspapier „K</w:t>
      </w:r>
      <w:r w:rsidRPr="00E8737E">
        <w:t>ultur vor Ort:</w:t>
      </w:r>
      <w:r>
        <w:t xml:space="preserve"> </w:t>
      </w:r>
      <w:r w:rsidRPr="00E8737E">
        <w:t xml:space="preserve">Standortvorteil und Impulsgeber </w:t>
      </w:r>
      <w:r>
        <w:t xml:space="preserve">– </w:t>
      </w:r>
      <w:r w:rsidRPr="00E8737E">
        <w:t>Identitäts- und Wirtschaftsfaktor</w:t>
      </w:r>
      <w:r>
        <w:t>“ ist dieser Ausgabe des DStGB beigefügt und kann unter</w:t>
      </w:r>
    </w:p>
    <w:p w14:paraId="38E2A438" w14:textId="2164028C" w:rsidR="004725CE" w:rsidRDefault="00462B02" w:rsidP="00E8737E">
      <w:pPr>
        <w:ind w:left="1418"/>
        <w:jc w:val="both"/>
      </w:pPr>
      <w:hyperlink r:id="rId8" w:history="1">
        <w:r w:rsidR="004725CE" w:rsidRPr="0012393C">
          <w:rPr>
            <w:rStyle w:val="Hyperlink"/>
          </w:rPr>
          <w:t>https://www.dstgb.de/publikationen/positionspapiere/</w:t>
        </w:r>
      </w:hyperlink>
    </w:p>
    <w:p w14:paraId="74A066F3" w14:textId="14C27B98" w:rsidR="00E8737E" w:rsidRDefault="00E8737E" w:rsidP="004725CE">
      <w:pPr>
        <w:ind w:left="709" w:firstLine="709"/>
      </w:pPr>
      <w:r w:rsidRPr="00E8737E">
        <w:t>heruntergeladen werden.</w:t>
      </w:r>
    </w:p>
    <w:p w14:paraId="7AEDD07F" w14:textId="089D9995" w:rsidR="00E8737E" w:rsidRDefault="00E8737E" w:rsidP="00E8737E">
      <w:pPr>
        <w:ind w:left="1418"/>
      </w:pPr>
    </w:p>
    <w:p w14:paraId="2119A3E0" w14:textId="77777777" w:rsidR="00E8737E" w:rsidRPr="00E8737E" w:rsidRDefault="00E8737E" w:rsidP="00E8737E">
      <w:pPr>
        <w:ind w:left="1418"/>
      </w:pPr>
    </w:p>
    <w:p w14:paraId="1C74A548" w14:textId="77777777" w:rsidR="00FF2EE5" w:rsidRPr="0028439B" w:rsidRDefault="00462B02" w:rsidP="00FF2EE5">
      <w:pPr>
        <w:jc w:val="right"/>
        <w:rPr>
          <w:b/>
          <w:sz w:val="18"/>
        </w:rPr>
      </w:pPr>
      <w:hyperlink w:anchor="_top" w:history="1">
        <w:r w:rsidR="00FF2EE5" w:rsidRPr="0028439B">
          <w:rPr>
            <w:rStyle w:val="Hyperlink"/>
            <w:b/>
            <w:color w:val="auto"/>
            <w:sz w:val="18"/>
          </w:rPr>
          <w:t>Inhaltsverzeichnis</w:t>
        </w:r>
      </w:hyperlink>
    </w:p>
    <w:p w14:paraId="41F57959" w14:textId="77777777" w:rsidR="00FF2EE5" w:rsidRDefault="00FF2EE5" w:rsidP="00FF2EE5">
      <w:pPr>
        <w:rPr>
          <w:bCs/>
        </w:rPr>
      </w:pPr>
      <w:r>
        <w:rPr>
          <w:bCs/>
        </w:rPr>
        <w:br w:type="page"/>
      </w:r>
    </w:p>
    <w:p w14:paraId="013D1C09" w14:textId="77777777" w:rsidR="00FF2EE5" w:rsidRPr="00D64B28" w:rsidRDefault="00DD014D" w:rsidP="00FF2EE5">
      <w:pPr>
        <w:rPr>
          <w:b/>
          <w:sz w:val="40"/>
          <w:highlight w:val="lightGray"/>
        </w:rPr>
      </w:pPr>
      <w:r>
        <w:rPr>
          <w:b/>
          <w:sz w:val="40"/>
          <w:highlight w:val="lightGray"/>
        </w:rPr>
        <w:lastRenderedPageBreak/>
        <w:t>BILDUNG; SPORT UND KULTUR</w:t>
      </w:r>
    </w:p>
    <w:p w14:paraId="20692A70" w14:textId="77777777" w:rsidR="00FF2EE5" w:rsidRPr="00547E93" w:rsidRDefault="00FF2EE5" w:rsidP="00FF2EE5">
      <w:pPr>
        <w:tabs>
          <w:tab w:val="left" w:pos="1418"/>
        </w:tabs>
        <w:rPr>
          <w:b/>
          <w:sz w:val="28"/>
          <w:szCs w:val="28"/>
        </w:rPr>
      </w:pPr>
    </w:p>
    <w:p w14:paraId="7D8DC1C2" w14:textId="3D6C4177" w:rsidR="00FF2EE5" w:rsidRPr="00004857" w:rsidRDefault="00FF2EE5" w:rsidP="00DD014D">
      <w:pPr>
        <w:pStyle w:val="2"/>
        <w:spacing w:before="0" w:after="0"/>
      </w:pPr>
      <w:bookmarkStart w:id="8" w:name="_Toc76732602"/>
      <w:r>
        <w:t>0921</w:t>
      </w:r>
      <w:r w:rsidRPr="00547E93">
        <w:t>-</w:t>
      </w:r>
      <w:r>
        <w:t>03</w:t>
      </w:r>
      <w:r w:rsidRPr="00547E93">
        <w:tab/>
      </w:r>
      <w:r w:rsidR="004725CE">
        <w:t>Neues DStGB-</w:t>
      </w:r>
      <w:r w:rsidR="00DD014D">
        <w:t>Positionspapier zur Sportpolitik</w:t>
      </w:r>
      <w:bookmarkEnd w:id="8"/>
    </w:p>
    <w:p w14:paraId="424F2839" w14:textId="77777777" w:rsidR="00FF2EE5" w:rsidRDefault="00FF2EE5" w:rsidP="00FF2EE5">
      <w:pPr>
        <w:ind w:left="1418"/>
      </w:pPr>
    </w:p>
    <w:p w14:paraId="457A678A" w14:textId="51CA2B52" w:rsidR="000F7F0A" w:rsidRPr="000F7F0A" w:rsidRDefault="000F7F0A" w:rsidP="000F7F0A">
      <w:pPr>
        <w:ind w:left="1418"/>
        <w:jc w:val="both"/>
      </w:pPr>
      <w:r w:rsidRPr="000F7F0A">
        <w:t>Die Städte und Gemeinden stellen ihren Einwohner*innen, den Schulen und Sportvereinen mit den Sportstätten und Bewegungsräumen einen geeigneten Rahmen für Sport und Bewegung zur Verfügung. Sport und Bewegung sind nicht nur eine wichtige Freizeitaktivität, sondern wirken sich positiv auf das körperliche und psychische Wohlbefinden aus, insbesondere für Kinder, Jugendliche und ältere Menschen. Bei der Schaffung von Sportstätten und Bewegungsräumen müssen Städte und Gemeinden das veränderte Sport- und Freizeitverhalten der Bevölkerung berück</w:t>
      </w:r>
      <w:r w:rsidR="004725CE">
        <w:t xml:space="preserve">sichtigen. Das heißt vor allem: </w:t>
      </w:r>
      <w:r w:rsidRPr="000F7F0A">
        <w:t>die steigende Bedeutung des wohnortnahen Raums für Sport und Bewegung, die Qualifizierung von öffentlichen Räumen als multifunktional nutzbare Stätten und „informellen“ Bewegungsräume und die Aufhebung der Funktionstrennung von Stadt-, Grün- und Sport- und Bewegungsflächen.</w:t>
      </w:r>
    </w:p>
    <w:p w14:paraId="71C6F4C9" w14:textId="77777777" w:rsidR="00DD014D" w:rsidRDefault="00DD014D" w:rsidP="000F7F0A">
      <w:pPr>
        <w:ind w:left="1418"/>
        <w:jc w:val="both"/>
      </w:pPr>
    </w:p>
    <w:p w14:paraId="247CA437" w14:textId="337DCD3C" w:rsidR="000F7F0A" w:rsidRDefault="000F7F0A" w:rsidP="000F7F0A">
      <w:pPr>
        <w:ind w:left="1418"/>
        <w:jc w:val="both"/>
      </w:pPr>
      <w:r>
        <w:t>Das neue Positionspapier „</w:t>
      </w:r>
      <w:r w:rsidRPr="000F7F0A">
        <w:t>Kommunale Sportstättenförderung</w:t>
      </w:r>
      <w:r w:rsidRPr="00E8737E">
        <w:t>:</w:t>
      </w:r>
      <w:r>
        <w:t xml:space="preserve"> </w:t>
      </w:r>
      <w:r w:rsidRPr="000F7F0A">
        <w:t>Spiel- und Bewegungsräume unverzichtbar</w:t>
      </w:r>
      <w:r w:rsidRPr="00E8737E">
        <w:t xml:space="preserve"> </w:t>
      </w:r>
      <w:r>
        <w:t xml:space="preserve">– </w:t>
      </w:r>
      <w:r w:rsidRPr="000F7F0A">
        <w:t>Sportstättenplanung kooperativ umsetzen</w:t>
      </w:r>
      <w:r>
        <w:t>“ ist dieser Ausgabe des DStGB beigefügt und kann unter</w:t>
      </w:r>
    </w:p>
    <w:p w14:paraId="040C3BAE" w14:textId="3BABFFF8" w:rsidR="004725CE" w:rsidRDefault="00462B02" w:rsidP="000F7F0A">
      <w:pPr>
        <w:ind w:left="1418"/>
        <w:jc w:val="both"/>
      </w:pPr>
      <w:hyperlink r:id="rId9" w:history="1">
        <w:r w:rsidR="004725CE" w:rsidRPr="0012393C">
          <w:rPr>
            <w:rStyle w:val="Hyperlink"/>
          </w:rPr>
          <w:t>https://www.dstgb.de/publikationen/positionspapiere/</w:t>
        </w:r>
      </w:hyperlink>
    </w:p>
    <w:p w14:paraId="5CB4A8E5" w14:textId="5087B2D8" w:rsidR="000F7F0A" w:rsidRDefault="000F7F0A" w:rsidP="000F7F0A">
      <w:pPr>
        <w:ind w:left="1418"/>
      </w:pPr>
      <w:r w:rsidRPr="00E8737E">
        <w:t>heruntergeladen werden.</w:t>
      </w:r>
    </w:p>
    <w:p w14:paraId="78A9BA4D" w14:textId="77777777" w:rsidR="00DD014D" w:rsidRDefault="00DD014D" w:rsidP="00FF2EE5">
      <w:pPr>
        <w:ind w:left="1418"/>
      </w:pPr>
    </w:p>
    <w:p w14:paraId="225D22C5" w14:textId="77777777" w:rsidR="00DD014D" w:rsidRDefault="00DD014D" w:rsidP="00FF2EE5">
      <w:pPr>
        <w:ind w:left="1418"/>
      </w:pPr>
    </w:p>
    <w:p w14:paraId="6A0BB0B6" w14:textId="77777777" w:rsidR="00DD014D" w:rsidRDefault="00DD014D" w:rsidP="00FF2EE5">
      <w:pPr>
        <w:ind w:left="1418"/>
      </w:pPr>
    </w:p>
    <w:p w14:paraId="5D872B74" w14:textId="77777777" w:rsidR="00DD014D" w:rsidRDefault="00DD014D" w:rsidP="00FF2EE5">
      <w:pPr>
        <w:ind w:left="1418"/>
      </w:pPr>
    </w:p>
    <w:p w14:paraId="259AEC37" w14:textId="77777777" w:rsidR="00DD014D" w:rsidRPr="00004857" w:rsidRDefault="00DD014D" w:rsidP="00DD014D">
      <w:pPr>
        <w:ind w:left="1418"/>
      </w:pPr>
    </w:p>
    <w:p w14:paraId="44B8A924" w14:textId="77777777" w:rsidR="00FF2EE5" w:rsidRPr="0028439B" w:rsidRDefault="00462B02" w:rsidP="00FF2EE5">
      <w:pPr>
        <w:jc w:val="right"/>
        <w:rPr>
          <w:b/>
          <w:sz w:val="18"/>
        </w:rPr>
      </w:pPr>
      <w:hyperlink w:anchor="_top" w:history="1">
        <w:r w:rsidR="00FF2EE5" w:rsidRPr="0028439B">
          <w:rPr>
            <w:rStyle w:val="Hyperlink"/>
            <w:b/>
            <w:color w:val="auto"/>
            <w:sz w:val="18"/>
          </w:rPr>
          <w:t>Inhaltsverzeichnis</w:t>
        </w:r>
      </w:hyperlink>
    </w:p>
    <w:p w14:paraId="7B3D917B" w14:textId="77777777" w:rsidR="00FF2EE5" w:rsidRDefault="00FF2EE5" w:rsidP="00FF2EE5">
      <w:pPr>
        <w:rPr>
          <w:bCs/>
        </w:rPr>
      </w:pPr>
      <w:r>
        <w:rPr>
          <w:bCs/>
        </w:rPr>
        <w:br w:type="page"/>
      </w:r>
    </w:p>
    <w:p w14:paraId="04031FDC" w14:textId="77777777" w:rsidR="00B92328" w:rsidRPr="00547E93" w:rsidRDefault="00B92328" w:rsidP="008E0157">
      <w:pPr>
        <w:pStyle w:val="berschrift1"/>
        <w:rPr>
          <w:b/>
        </w:rPr>
      </w:pPr>
      <w:bookmarkStart w:id="9" w:name="_Toc502842252"/>
      <w:bookmarkStart w:id="10" w:name="_Toc76732603"/>
      <w:r w:rsidRPr="00547E93">
        <w:rPr>
          <w:b/>
        </w:rPr>
        <w:lastRenderedPageBreak/>
        <w:t>FINANZEN UND KOMMUNALWIRTSCHAFT</w:t>
      </w:r>
      <w:bookmarkEnd w:id="9"/>
      <w:bookmarkEnd w:id="10"/>
    </w:p>
    <w:p w14:paraId="06E9FE49" w14:textId="77777777" w:rsidR="00B92328" w:rsidRPr="00547E93" w:rsidRDefault="00B92328" w:rsidP="00630EEA">
      <w:pPr>
        <w:tabs>
          <w:tab w:val="left" w:pos="1418"/>
        </w:tabs>
        <w:rPr>
          <w:b/>
          <w:sz w:val="28"/>
          <w:szCs w:val="28"/>
        </w:rPr>
      </w:pPr>
    </w:p>
    <w:p w14:paraId="59CCF54F" w14:textId="77777777" w:rsidR="004D08E5" w:rsidRPr="004D08E5" w:rsidRDefault="00C67E44" w:rsidP="004D08E5">
      <w:pPr>
        <w:pStyle w:val="2"/>
        <w:spacing w:before="0" w:after="0"/>
      </w:pPr>
      <w:bookmarkStart w:id="11" w:name="_Toc76732604"/>
      <w:r>
        <w:t>2721</w:t>
      </w:r>
      <w:r w:rsidR="00B92328" w:rsidRPr="00547E93">
        <w:t>-</w:t>
      </w:r>
      <w:r w:rsidR="00AE3FD3">
        <w:t>0</w:t>
      </w:r>
      <w:r w:rsidR="00DD014D">
        <w:t>4</w:t>
      </w:r>
      <w:r w:rsidR="00B92328" w:rsidRPr="00547E93">
        <w:tab/>
      </w:r>
      <w:r w:rsidR="004D08E5">
        <w:t>Verschuldung Öffentlicher Gesamthaushalt – 1. Quartal</w:t>
      </w:r>
      <w:bookmarkEnd w:id="11"/>
    </w:p>
    <w:p w14:paraId="26EBB9C8" w14:textId="77777777" w:rsidR="004D08E5" w:rsidRDefault="004D08E5" w:rsidP="004D08E5">
      <w:pPr>
        <w:ind w:left="1418"/>
        <w:rPr>
          <w:color w:val="000000"/>
        </w:rPr>
      </w:pPr>
    </w:p>
    <w:p w14:paraId="3C42FE94" w14:textId="5DDDF480" w:rsidR="004D08E5" w:rsidRDefault="004D08E5" w:rsidP="00DD014D">
      <w:pPr>
        <w:ind w:left="1418"/>
        <w:jc w:val="both"/>
        <w:rPr>
          <w:b/>
          <w:bCs/>
          <w:color w:val="000000"/>
        </w:rPr>
      </w:pPr>
      <w:r w:rsidRPr="00A7077C">
        <w:rPr>
          <w:b/>
          <w:bCs/>
          <w:color w:val="000000"/>
        </w:rPr>
        <w:t>Zum Ende des 1. Quartals 2021 belaufen sich die öffentlichen Schulden erstmals auf über 2,2 Billionen Euro. Aufgrund staatlicher Maßnahmen zur Bewältigung der Corona-Pandemie ist die Verschuldung im Vergleich zum Vorjahr</w:t>
      </w:r>
      <w:r>
        <w:rPr>
          <w:b/>
          <w:bCs/>
          <w:color w:val="000000"/>
        </w:rPr>
        <w:t>esquartal</w:t>
      </w:r>
      <w:r w:rsidRPr="00A7077C">
        <w:rPr>
          <w:b/>
          <w:bCs/>
          <w:color w:val="000000"/>
        </w:rPr>
        <w:t xml:space="preserve"> damit um 250</w:t>
      </w:r>
      <w:r>
        <w:rPr>
          <w:b/>
          <w:bCs/>
          <w:color w:val="000000"/>
        </w:rPr>
        <w:t> </w:t>
      </w:r>
      <w:r w:rsidRPr="00A7077C">
        <w:rPr>
          <w:b/>
          <w:bCs/>
          <w:color w:val="000000"/>
        </w:rPr>
        <w:t xml:space="preserve">Mrd. Euro angestiegen. </w:t>
      </w:r>
      <w:r>
        <w:rPr>
          <w:b/>
          <w:bCs/>
          <w:color w:val="000000"/>
        </w:rPr>
        <w:t>Aufgrund des 1. kommunalen Rettungsschirms sowie Maßnahmen einiger Länder z</w:t>
      </w:r>
      <w:r w:rsidR="004725CE">
        <w:rPr>
          <w:b/>
          <w:bCs/>
          <w:color w:val="000000"/>
        </w:rPr>
        <w:t xml:space="preserve">ur Entschuldung ihrer Kommunen – </w:t>
      </w:r>
      <w:r>
        <w:rPr>
          <w:b/>
          <w:bCs/>
          <w:color w:val="000000"/>
        </w:rPr>
        <w:t>diesmal</w:t>
      </w:r>
      <w:r w:rsidR="004725CE">
        <w:rPr>
          <w:b/>
          <w:bCs/>
          <w:color w:val="000000"/>
        </w:rPr>
        <w:t xml:space="preserve"> vornehmlich sog. Saarlandpakt – </w:t>
      </w:r>
      <w:r>
        <w:rPr>
          <w:b/>
          <w:bCs/>
          <w:color w:val="000000"/>
        </w:rPr>
        <w:t>nahm die kommunale Verschuldung nur leicht au</w:t>
      </w:r>
      <w:r w:rsidR="004725CE">
        <w:rPr>
          <w:b/>
          <w:bCs/>
          <w:color w:val="000000"/>
        </w:rPr>
        <w:t>f 134</w:t>
      </w:r>
      <w:r>
        <w:rPr>
          <w:b/>
          <w:bCs/>
          <w:color w:val="000000"/>
        </w:rPr>
        <w:t xml:space="preserve"> Mrd. Euro zu. Die Kassenkreditverschuldung konnte sogar reduziert werden (32,3 Mrd. Euro).</w:t>
      </w:r>
    </w:p>
    <w:p w14:paraId="712D5432" w14:textId="77777777" w:rsidR="004D08E5" w:rsidRPr="005C576E" w:rsidRDefault="004D08E5" w:rsidP="00DD014D">
      <w:pPr>
        <w:ind w:left="1418"/>
        <w:jc w:val="both"/>
        <w:rPr>
          <w:color w:val="000000"/>
        </w:rPr>
      </w:pPr>
    </w:p>
    <w:p w14:paraId="7303F999" w14:textId="55ED5967" w:rsidR="004D08E5" w:rsidRDefault="004D08E5" w:rsidP="00DD014D">
      <w:pPr>
        <w:ind w:left="1418"/>
        <w:jc w:val="both"/>
      </w:pPr>
      <w:r>
        <w:rPr>
          <w:color w:val="000000"/>
        </w:rPr>
        <w:t xml:space="preserve">Nach den jetzt veröffentlichten vorläufigen Zahlen </w:t>
      </w:r>
      <w:r>
        <w:rPr>
          <w:bCs/>
          <w:color w:val="000000"/>
        </w:rPr>
        <w:t>des Statistischen Bundesamtes</w:t>
      </w:r>
      <w:r w:rsidRPr="005352E3">
        <w:rPr>
          <w:color w:val="000000"/>
        </w:rPr>
        <w:t xml:space="preserve"> </w:t>
      </w:r>
      <w:r>
        <w:rPr>
          <w:color w:val="000000"/>
        </w:rPr>
        <w:t xml:space="preserve">übersteigen die Schulden des Öffentlichen Gesamthaushalts </w:t>
      </w:r>
      <w:r w:rsidRPr="007936F7">
        <w:rPr>
          <w:color w:val="000000"/>
        </w:rPr>
        <w:t xml:space="preserve">(Bund, Länder, Gemeinden/Gemeindeverbände und Sozialversicherung einschließlich aller Extrahaushalte) </w:t>
      </w:r>
      <w:r>
        <w:rPr>
          <w:color w:val="000000"/>
        </w:rPr>
        <w:t xml:space="preserve">zum </w:t>
      </w:r>
      <w:r w:rsidRPr="005B582E">
        <w:rPr>
          <w:color w:val="000000"/>
        </w:rPr>
        <w:t>Ende des 1. Quartals 2021 erstmals 2,2 Billionen Euro</w:t>
      </w:r>
      <w:r>
        <w:rPr>
          <w:color w:val="000000"/>
        </w:rPr>
        <w:t xml:space="preserve">. Der Schuldenstand beim nicht-öffentlichen Bereich steigt damit gegenüber dem </w:t>
      </w:r>
      <w:r>
        <w:t>4. Quartal 2020 um 1,5 Prozent (+33,6 Mrd. Euro) auf insgesamt 2205,4 Mrd. Euro an. Im Vergleich zum Vorjahr ist</w:t>
      </w:r>
      <w:r w:rsidR="004725CE">
        <w:t xml:space="preserve"> die Verschuldung damit um 250</w:t>
      </w:r>
      <w:r>
        <w:t xml:space="preserve"> Mrd. Euro (+12,8 %) aufgewachsen. Der Anstieg der Verschuldung ist wesentlich auf Maßnahmen zur Bewältigung der Corona-Pandemie zurückzuführen.</w:t>
      </w:r>
    </w:p>
    <w:p w14:paraId="7A8B5119" w14:textId="77777777" w:rsidR="004D08E5" w:rsidRDefault="004D08E5" w:rsidP="004725CE">
      <w:pPr>
        <w:ind w:left="1418"/>
        <w:rPr>
          <w:color w:val="000000"/>
        </w:rPr>
      </w:pPr>
    </w:p>
    <w:p w14:paraId="4DB32949" w14:textId="77777777" w:rsidR="004D08E5" w:rsidRDefault="004D08E5" w:rsidP="00DD014D">
      <w:pPr>
        <w:ind w:left="1418"/>
        <w:jc w:val="both"/>
        <w:rPr>
          <w:color w:val="000000"/>
        </w:rPr>
      </w:pPr>
      <w:r w:rsidRPr="007936F7">
        <w:rPr>
          <w:color w:val="000000"/>
        </w:rPr>
        <w:t>Auf den Bund entfielen</w:t>
      </w:r>
      <w:r>
        <w:rPr>
          <w:color w:val="000000"/>
        </w:rPr>
        <w:t xml:space="preserve"> dabei </w:t>
      </w:r>
      <w:r w:rsidRPr="007936F7">
        <w:rPr>
          <w:color w:val="000000"/>
        </w:rPr>
        <w:t>1</w:t>
      </w:r>
      <w:r>
        <w:rPr>
          <w:color w:val="000000"/>
        </w:rPr>
        <w:t>431</w:t>
      </w:r>
      <w:r w:rsidRPr="007936F7">
        <w:rPr>
          <w:color w:val="000000"/>
        </w:rPr>
        <w:t>,</w:t>
      </w:r>
      <w:r>
        <w:rPr>
          <w:color w:val="000000"/>
        </w:rPr>
        <w:t>4</w:t>
      </w:r>
      <w:r w:rsidRPr="007936F7">
        <w:rPr>
          <w:color w:val="000000"/>
        </w:rPr>
        <w:t xml:space="preserve"> Mrd. Euro</w:t>
      </w:r>
      <w:r>
        <w:rPr>
          <w:color w:val="000000"/>
        </w:rPr>
        <w:t xml:space="preserve"> (+2,0 % bzw. 26,8 Mrd. Euro zum 31.12.2020 und +17,3 % bzw. 211,1 Mrd. Euro zum 31.3.2020). </w:t>
      </w:r>
      <w:r w:rsidRPr="007936F7">
        <w:rPr>
          <w:color w:val="000000"/>
        </w:rPr>
        <w:t xml:space="preserve">Die Verschuldung der Länder </w:t>
      </w:r>
      <w:r>
        <w:rPr>
          <w:color w:val="000000"/>
        </w:rPr>
        <w:t>nahm um 0,6 Prozent (+4,1 Mrd. Euro) zum vorangegangenen Quartal respektive 6,2 Prozent (+37,5 Mrd. Euro) zum Vorjahreszeitraum zu</w:t>
      </w:r>
      <w:r w:rsidRPr="007936F7">
        <w:rPr>
          <w:color w:val="000000"/>
        </w:rPr>
        <w:t xml:space="preserve"> und belief sich zum 3</w:t>
      </w:r>
      <w:r>
        <w:rPr>
          <w:color w:val="000000"/>
        </w:rPr>
        <w:t>1</w:t>
      </w:r>
      <w:r w:rsidRPr="007936F7">
        <w:rPr>
          <w:color w:val="000000"/>
        </w:rPr>
        <w:t xml:space="preserve">. </w:t>
      </w:r>
      <w:r>
        <w:rPr>
          <w:color w:val="000000"/>
        </w:rPr>
        <w:t>März</w:t>
      </w:r>
      <w:r w:rsidRPr="007936F7">
        <w:rPr>
          <w:color w:val="000000"/>
        </w:rPr>
        <w:t xml:space="preserve"> 20</w:t>
      </w:r>
      <w:r>
        <w:rPr>
          <w:color w:val="000000"/>
        </w:rPr>
        <w:t>21</w:t>
      </w:r>
      <w:r w:rsidRPr="007936F7">
        <w:rPr>
          <w:color w:val="000000"/>
        </w:rPr>
        <w:t xml:space="preserve"> auf </w:t>
      </w:r>
      <w:r>
        <w:rPr>
          <w:color w:val="000000"/>
        </w:rPr>
        <w:t>639</w:t>
      </w:r>
      <w:r w:rsidRPr="007936F7">
        <w:rPr>
          <w:color w:val="000000"/>
        </w:rPr>
        <w:t>,</w:t>
      </w:r>
      <w:r>
        <w:rPr>
          <w:color w:val="000000"/>
        </w:rPr>
        <w:t>9</w:t>
      </w:r>
      <w:r w:rsidRPr="007936F7">
        <w:rPr>
          <w:color w:val="000000"/>
        </w:rPr>
        <w:t xml:space="preserve"> Mrd. Euro</w:t>
      </w:r>
      <w:r>
        <w:rPr>
          <w:color w:val="000000"/>
        </w:rPr>
        <w:t>.</w:t>
      </w:r>
    </w:p>
    <w:p w14:paraId="6D43C370" w14:textId="77777777" w:rsidR="004D08E5" w:rsidRDefault="004D08E5" w:rsidP="00DD014D">
      <w:pPr>
        <w:ind w:left="1418"/>
        <w:jc w:val="both"/>
        <w:rPr>
          <w:color w:val="000000"/>
        </w:rPr>
      </w:pPr>
    </w:p>
    <w:p w14:paraId="5BAD8B6F" w14:textId="77777777" w:rsidR="004D08E5" w:rsidRDefault="004D08E5" w:rsidP="00DD014D">
      <w:pPr>
        <w:ind w:left="1418"/>
        <w:jc w:val="both"/>
        <w:rPr>
          <w:color w:val="000000"/>
        </w:rPr>
      </w:pPr>
      <w:r>
        <w:rPr>
          <w:color w:val="000000"/>
        </w:rPr>
        <w:t>Auf Ebene der Gemeinden und Gemeindeverbände nahm der Schul</w:t>
      </w:r>
      <w:r>
        <w:rPr>
          <w:color w:val="000000"/>
        </w:rPr>
        <w:softHyphen/>
        <w:t xml:space="preserve">denstand gegenüber dem 4. Quartal 2020 um 1,1 Prozent bzw. 1,5 Mrd. Euro zu (+1,1 % bzw. 1,4 Mrd. Euro zum 31.3.2020) auf nun 133,988 </w:t>
      </w:r>
      <w:r w:rsidRPr="0017353E">
        <w:rPr>
          <w:color w:val="000000"/>
        </w:rPr>
        <w:t xml:space="preserve">Mrd. Euro (1.742 </w:t>
      </w:r>
      <w:r>
        <w:rPr>
          <w:color w:val="000000"/>
        </w:rPr>
        <w:t>Euro</w:t>
      </w:r>
      <w:r w:rsidRPr="0017353E">
        <w:rPr>
          <w:color w:val="000000"/>
        </w:rPr>
        <w:t>/Einw.)</w:t>
      </w:r>
      <w:r>
        <w:rPr>
          <w:color w:val="000000"/>
        </w:rPr>
        <w:t xml:space="preserve"> zu</w:t>
      </w:r>
      <w:r w:rsidRPr="0017353E">
        <w:rPr>
          <w:color w:val="000000"/>
        </w:rPr>
        <w:t>. Im</w:t>
      </w:r>
      <w:r>
        <w:rPr>
          <w:color w:val="000000"/>
        </w:rPr>
        <w:t xml:space="preserve"> Saarland </w:t>
      </w:r>
      <w:r w:rsidRPr="00542770">
        <w:rPr>
          <w:color w:val="000000"/>
        </w:rPr>
        <w:t>(-5,</w:t>
      </w:r>
      <w:r>
        <w:rPr>
          <w:color w:val="000000"/>
        </w:rPr>
        <w:t>1</w:t>
      </w:r>
      <w:r w:rsidRPr="00542770">
        <w:rPr>
          <w:color w:val="000000"/>
        </w:rPr>
        <w:t xml:space="preserve"> %)</w:t>
      </w:r>
      <w:r>
        <w:rPr>
          <w:color w:val="000000"/>
        </w:rPr>
        <w:t>, in Sachsen (-3,1 %), T</w:t>
      </w:r>
      <w:r>
        <w:t>hüringen (-0,3 %) und Nordrhein-Westfalen (-0,1 %)</w:t>
      </w:r>
      <w:r>
        <w:rPr>
          <w:color w:val="000000"/>
        </w:rPr>
        <w:t xml:space="preserve"> konnten die Kommunen Schulden abbauen. </w:t>
      </w:r>
      <w:r w:rsidRPr="000D3E50">
        <w:rPr>
          <w:color w:val="000000"/>
        </w:rPr>
        <w:t>Der Schuldenrückgang der saarländischen Gemeinden und Gemeindeverbände ist zum Großteil dadurch begründet, dass im Rahmen des Saarlandpaktes seit dem 1.</w:t>
      </w:r>
      <w:r>
        <w:rPr>
          <w:color w:val="000000"/>
        </w:rPr>
        <w:t> </w:t>
      </w:r>
      <w:r w:rsidRPr="000D3E50">
        <w:rPr>
          <w:color w:val="000000"/>
        </w:rPr>
        <w:t xml:space="preserve">Januar 2020 bis zum 31. März 2021 rund 500 </w:t>
      </w:r>
      <w:r>
        <w:rPr>
          <w:color w:val="000000"/>
        </w:rPr>
        <w:t>Mio.</w:t>
      </w:r>
      <w:r w:rsidRPr="000D3E50">
        <w:rPr>
          <w:color w:val="000000"/>
        </w:rPr>
        <w:t xml:space="preserve"> Euro an kommunalen Kassenkrediten vom Land übernommen wurden.</w:t>
      </w:r>
      <w:r w:rsidRPr="000D3E50">
        <w:t xml:space="preserve"> </w:t>
      </w:r>
      <w:r>
        <w:rPr>
          <w:color w:val="000000"/>
        </w:rPr>
        <w:t>I</w:t>
      </w:r>
      <w:r w:rsidRPr="000D3E50">
        <w:rPr>
          <w:color w:val="000000"/>
        </w:rPr>
        <w:t>n Baden-Württemberg (+5,3 %), Schleswig-Holstein (+4,3 %) und Sachsen-Anhalt (+3,6 %)</w:t>
      </w:r>
      <w:r>
        <w:rPr>
          <w:color w:val="000000"/>
        </w:rPr>
        <w:t xml:space="preserve"> nahm die kommunale Verschuldung statistisch gegenüber dem 31. Dezember 2020 merklich zu.</w:t>
      </w:r>
      <w:r w:rsidRPr="000D3E50">
        <w:t xml:space="preserve"> </w:t>
      </w:r>
      <w:r>
        <w:t>Hingewiesen sei darauf, dass der Schuldenanstieg in Baden-Württemberg vor allem</w:t>
      </w:r>
      <w:r w:rsidRPr="000D3E50">
        <w:t xml:space="preserve"> auf eine Änderung des Berichtskreises zurückzuführen</w:t>
      </w:r>
      <w:r>
        <w:t xml:space="preserve"> ist. </w:t>
      </w:r>
      <w:r>
        <w:rPr>
          <w:color w:val="000000"/>
        </w:rPr>
        <w:t xml:space="preserve">Der kommunale Kassenkreditbestand beträgt zum Ende des 1. Quartals 2021 32,29 Mrd. Euro. </w:t>
      </w:r>
    </w:p>
    <w:p w14:paraId="2BCB02F5" w14:textId="77777777" w:rsidR="00DD014D" w:rsidRDefault="00DD014D" w:rsidP="00DD014D">
      <w:pPr>
        <w:ind w:left="1418"/>
        <w:jc w:val="both"/>
        <w:rPr>
          <w:color w:val="000000"/>
        </w:rPr>
      </w:pPr>
    </w:p>
    <w:p w14:paraId="263D3E7B" w14:textId="77777777" w:rsidR="004D08E5" w:rsidRDefault="004D08E5" w:rsidP="004725CE">
      <w:pPr>
        <w:ind w:left="1418"/>
        <w:rPr>
          <w:color w:val="000000"/>
        </w:rPr>
      </w:pPr>
      <w:r>
        <w:rPr>
          <w:color w:val="000000"/>
        </w:rPr>
        <w:t>3,12 Mrd. Euro gehen auf Wertpapierschulden zurück.</w:t>
      </w:r>
    </w:p>
    <w:p w14:paraId="1692C77B" w14:textId="77777777" w:rsidR="004D08E5" w:rsidRDefault="004D08E5" w:rsidP="004725CE">
      <w:pPr>
        <w:ind w:left="1418"/>
        <w:rPr>
          <w:color w:val="000000"/>
        </w:rPr>
      </w:pPr>
    </w:p>
    <w:p w14:paraId="17FB8883" w14:textId="77777777" w:rsidR="004D08E5" w:rsidRDefault="004D08E5" w:rsidP="00DD014D">
      <w:pPr>
        <w:ind w:left="1418"/>
        <w:jc w:val="both"/>
        <w:rPr>
          <w:color w:val="000000"/>
        </w:rPr>
      </w:pPr>
      <w:r>
        <w:rPr>
          <w:color w:val="000000"/>
        </w:rPr>
        <w:t>Betrachtet man nur die Kernhaushalte, so belaufen sich die kommunalen Schulden beim nicht-öffentlichen Bereich auf 118,099 Mrd. Euro. Davon entfallen 47,147 Mrd. Euro auf kreisfreie Städte, 55,294 Mrd. auf kreisangehörige Gemeinden und Ämter, 14,703 Mrd. Euro auf Landkreise</w:t>
      </w:r>
      <w:r w:rsidRPr="00D250B7">
        <w:rPr>
          <w:color w:val="000000"/>
        </w:rPr>
        <w:t xml:space="preserve"> </w:t>
      </w:r>
      <w:r>
        <w:rPr>
          <w:color w:val="000000"/>
        </w:rPr>
        <w:t>und 0,955 Mrd. Euro auf Bezirksverbände. Der Kassenkreditbe</w:t>
      </w:r>
      <w:r>
        <w:rPr>
          <w:color w:val="000000"/>
        </w:rPr>
        <w:softHyphen/>
        <w:t xml:space="preserve">stand liegt mit Stand 31. März 2021 bei 31,563 Mrd. Euro. 17,395 Mrd. Euro gehen auf kreisfreie Städte, 12,158 Mrd. Euro auf kreisangehörige Gemeinden und Ämter, 1,894 Mrd. Euro auf Landkreise und 0,116 Mrd. Euro auf Bezirksverbände zurück. Folgend eine Übersicht zur Gesamtverschuldung und zu den Kassenkrediten der Kommunen in den Ländern (Kernhaushalte): </w:t>
      </w:r>
    </w:p>
    <w:p w14:paraId="27B0C05D" w14:textId="77777777" w:rsidR="004D08E5" w:rsidRDefault="004D08E5" w:rsidP="004725CE">
      <w:pPr>
        <w:ind w:left="1418"/>
        <w:rPr>
          <w:color w:val="000000"/>
        </w:rPr>
      </w:pPr>
    </w:p>
    <w:p w14:paraId="42D08128" w14:textId="77777777" w:rsidR="004D08E5" w:rsidRDefault="004D08E5" w:rsidP="004725CE">
      <w:pPr>
        <w:ind w:left="1418"/>
        <w:rPr>
          <w:color w:val="000000"/>
        </w:rPr>
      </w:pPr>
    </w:p>
    <w:tbl>
      <w:tblPr>
        <w:tblStyle w:val="MittleresRaster3-Akzent3"/>
        <w:tblpPr w:leftFromText="142" w:rightFromText="142" w:vertAnchor="text" w:horzAnchor="page" w:tblpX="2371" w:tblpY="-294"/>
        <w:tblW w:w="0" w:type="auto"/>
        <w:tblLook w:val="04A0" w:firstRow="1" w:lastRow="0" w:firstColumn="1" w:lastColumn="0" w:noHBand="0" w:noVBand="1"/>
      </w:tblPr>
      <w:tblGrid>
        <w:gridCol w:w="2405"/>
        <w:gridCol w:w="3114"/>
        <w:gridCol w:w="2976"/>
      </w:tblGrid>
      <w:tr w:rsidR="004D08E5" w:rsidRPr="00EB0495" w14:paraId="2AF4F9A1" w14:textId="77777777" w:rsidTr="004D08E5">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2405" w:type="dxa"/>
            <w:shd w:val="clear" w:color="auto" w:fill="C5E0B3" w:themeFill="accent6" w:themeFillTint="66"/>
            <w:vAlign w:val="center"/>
          </w:tcPr>
          <w:p w14:paraId="53F7BF69" w14:textId="77777777" w:rsidR="004D08E5" w:rsidRPr="00EB0495" w:rsidRDefault="004D08E5" w:rsidP="004725CE">
            <w:pPr>
              <w:jc w:val="center"/>
              <w:rPr>
                <w:color w:val="000000"/>
              </w:rPr>
            </w:pPr>
            <w:r w:rsidRPr="00EB0495">
              <w:rPr>
                <w:color w:val="000000"/>
              </w:rPr>
              <w:t>Flächenländer</w:t>
            </w:r>
          </w:p>
        </w:tc>
        <w:tc>
          <w:tcPr>
            <w:tcW w:w="3114" w:type="dxa"/>
            <w:shd w:val="clear" w:color="auto" w:fill="C5E0B3" w:themeFill="accent6" w:themeFillTint="66"/>
            <w:vAlign w:val="center"/>
          </w:tcPr>
          <w:p w14:paraId="6276FDDA" w14:textId="77777777" w:rsidR="004D08E5" w:rsidRPr="00EB0495" w:rsidRDefault="004D08E5" w:rsidP="004725CE">
            <w:pPr>
              <w:cnfStyle w:val="100000000000" w:firstRow="1" w:lastRow="0" w:firstColumn="0" w:lastColumn="0" w:oddVBand="0" w:evenVBand="0" w:oddHBand="0" w:evenHBand="0" w:firstRowFirstColumn="0" w:firstRowLastColumn="0" w:lastRowFirstColumn="0" w:lastRowLastColumn="0"/>
              <w:rPr>
                <w:color w:val="000000"/>
              </w:rPr>
            </w:pPr>
            <w:r w:rsidRPr="00EB0495">
              <w:rPr>
                <w:color w:val="000000"/>
              </w:rPr>
              <w:t>Kommunaler Schuldenstand zum 3</w:t>
            </w:r>
            <w:r>
              <w:rPr>
                <w:color w:val="000000"/>
              </w:rPr>
              <w:t>1</w:t>
            </w:r>
            <w:r w:rsidRPr="00EB0495">
              <w:rPr>
                <w:color w:val="000000"/>
              </w:rPr>
              <w:t>.0</w:t>
            </w:r>
            <w:r>
              <w:rPr>
                <w:color w:val="000000"/>
              </w:rPr>
              <w:t>3</w:t>
            </w:r>
            <w:r w:rsidRPr="00EB0495">
              <w:rPr>
                <w:color w:val="000000"/>
              </w:rPr>
              <w:t>.20</w:t>
            </w:r>
            <w:r>
              <w:rPr>
                <w:color w:val="000000"/>
              </w:rPr>
              <w:t>21</w:t>
            </w:r>
            <w:r w:rsidRPr="00EB0495">
              <w:rPr>
                <w:color w:val="000000"/>
              </w:rPr>
              <w:t xml:space="preserve"> in Mio. Euro (Kernhaushalte)</w:t>
            </w:r>
          </w:p>
        </w:tc>
        <w:tc>
          <w:tcPr>
            <w:tcW w:w="2976" w:type="dxa"/>
            <w:shd w:val="clear" w:color="auto" w:fill="C5E0B3" w:themeFill="accent6" w:themeFillTint="66"/>
            <w:vAlign w:val="center"/>
          </w:tcPr>
          <w:p w14:paraId="09F584D1" w14:textId="77777777" w:rsidR="004D08E5" w:rsidRPr="00EB0495" w:rsidRDefault="004D08E5" w:rsidP="004725CE">
            <w:pPr>
              <w:cnfStyle w:val="100000000000" w:firstRow="1" w:lastRow="0" w:firstColumn="0" w:lastColumn="0" w:oddVBand="0" w:evenVBand="0" w:oddHBand="0" w:evenHBand="0" w:firstRowFirstColumn="0" w:firstRowLastColumn="0" w:lastRowFirstColumn="0" w:lastRowLastColumn="0"/>
              <w:rPr>
                <w:color w:val="000000"/>
              </w:rPr>
            </w:pPr>
            <w:r w:rsidRPr="00EB0495">
              <w:rPr>
                <w:color w:val="000000"/>
              </w:rPr>
              <w:t>Kommunaler Kassen</w:t>
            </w:r>
            <w:r>
              <w:rPr>
                <w:color w:val="000000"/>
              </w:rPr>
              <w:t>-</w:t>
            </w:r>
            <w:r w:rsidRPr="00EB0495">
              <w:rPr>
                <w:color w:val="000000"/>
              </w:rPr>
              <w:t>kreditbestand zum 3</w:t>
            </w:r>
            <w:r>
              <w:rPr>
                <w:color w:val="000000"/>
              </w:rPr>
              <w:t>1</w:t>
            </w:r>
            <w:r w:rsidRPr="00EB0495">
              <w:rPr>
                <w:color w:val="000000"/>
              </w:rPr>
              <w:t>.</w:t>
            </w:r>
            <w:r>
              <w:rPr>
                <w:color w:val="000000"/>
              </w:rPr>
              <w:t>03</w:t>
            </w:r>
            <w:r w:rsidRPr="00EB0495">
              <w:rPr>
                <w:color w:val="000000"/>
              </w:rPr>
              <w:t>.20</w:t>
            </w:r>
            <w:r>
              <w:rPr>
                <w:color w:val="000000"/>
              </w:rPr>
              <w:t>21</w:t>
            </w:r>
            <w:r w:rsidRPr="00EB0495">
              <w:rPr>
                <w:color w:val="000000"/>
              </w:rPr>
              <w:t xml:space="preserve"> in Mio. Euro (Kernhaushalte)</w:t>
            </w:r>
          </w:p>
        </w:tc>
      </w:tr>
      <w:tr w:rsidR="004D08E5" w:rsidRPr="00EB0495" w14:paraId="5EEEE2E5" w14:textId="77777777" w:rsidTr="004D08E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405" w:type="dxa"/>
            <w:shd w:val="clear" w:color="auto" w:fill="C5E0B3" w:themeFill="accent6" w:themeFillTint="66"/>
            <w:vAlign w:val="center"/>
          </w:tcPr>
          <w:p w14:paraId="131955B4" w14:textId="77777777" w:rsidR="004D08E5" w:rsidRPr="00EB0495" w:rsidRDefault="004D08E5" w:rsidP="004725CE">
            <w:pPr>
              <w:jc w:val="center"/>
              <w:rPr>
                <w:color w:val="000000"/>
              </w:rPr>
            </w:pPr>
            <w:r w:rsidRPr="00EB0495">
              <w:rPr>
                <w:color w:val="000000"/>
              </w:rPr>
              <w:t>Baden-Württemberg</w:t>
            </w:r>
          </w:p>
        </w:tc>
        <w:tc>
          <w:tcPr>
            <w:tcW w:w="3114" w:type="dxa"/>
            <w:vAlign w:val="center"/>
          </w:tcPr>
          <w:p w14:paraId="4DF9A76B" w14:textId="77777777" w:rsidR="004D08E5" w:rsidRPr="00EB0495" w:rsidRDefault="004D08E5" w:rsidP="004725CE">
            <w:pPr>
              <w:jc w:val="center"/>
              <w:cnfStyle w:val="000000100000" w:firstRow="0" w:lastRow="0" w:firstColumn="0" w:lastColumn="0" w:oddVBand="0" w:evenVBand="0" w:oddHBand="1" w:evenHBand="0" w:firstRowFirstColumn="0" w:firstRowLastColumn="0" w:lastRowFirstColumn="0" w:lastRowLastColumn="0"/>
            </w:pPr>
            <w:r w:rsidRPr="00F64AD1">
              <w:t>6246,0</w:t>
            </w:r>
          </w:p>
        </w:tc>
        <w:tc>
          <w:tcPr>
            <w:tcW w:w="2976" w:type="dxa"/>
            <w:vAlign w:val="center"/>
          </w:tcPr>
          <w:p w14:paraId="7D988337" w14:textId="77777777" w:rsidR="004D08E5" w:rsidRPr="00EB0495" w:rsidRDefault="004D08E5" w:rsidP="004725CE">
            <w:pPr>
              <w:jc w:val="center"/>
              <w:cnfStyle w:val="000000100000" w:firstRow="0" w:lastRow="0" w:firstColumn="0" w:lastColumn="0" w:oddVBand="0" w:evenVBand="0" w:oddHBand="1" w:evenHBand="0" w:firstRowFirstColumn="0" w:firstRowLastColumn="0" w:lastRowFirstColumn="0" w:lastRowLastColumn="0"/>
            </w:pPr>
            <w:r w:rsidRPr="00C82CF7">
              <w:t>436,3</w:t>
            </w:r>
          </w:p>
        </w:tc>
      </w:tr>
      <w:tr w:rsidR="004D08E5" w:rsidRPr="00EB0495" w14:paraId="2208D801" w14:textId="77777777" w:rsidTr="004D08E5">
        <w:trPr>
          <w:trHeight w:val="236"/>
        </w:trPr>
        <w:tc>
          <w:tcPr>
            <w:cnfStyle w:val="001000000000" w:firstRow="0" w:lastRow="0" w:firstColumn="1" w:lastColumn="0" w:oddVBand="0" w:evenVBand="0" w:oddHBand="0" w:evenHBand="0" w:firstRowFirstColumn="0" w:firstRowLastColumn="0" w:lastRowFirstColumn="0" w:lastRowLastColumn="0"/>
            <w:tcW w:w="2405" w:type="dxa"/>
            <w:shd w:val="clear" w:color="auto" w:fill="C5E0B3" w:themeFill="accent6" w:themeFillTint="66"/>
            <w:vAlign w:val="center"/>
          </w:tcPr>
          <w:p w14:paraId="0D83463C" w14:textId="77777777" w:rsidR="004D08E5" w:rsidRPr="00EB0495" w:rsidRDefault="004D08E5" w:rsidP="004725CE">
            <w:pPr>
              <w:jc w:val="center"/>
              <w:rPr>
                <w:color w:val="000000"/>
              </w:rPr>
            </w:pPr>
            <w:r w:rsidRPr="00EB0495">
              <w:rPr>
                <w:color w:val="000000"/>
              </w:rPr>
              <w:t>Bayern</w:t>
            </w:r>
          </w:p>
        </w:tc>
        <w:tc>
          <w:tcPr>
            <w:tcW w:w="3114" w:type="dxa"/>
            <w:vAlign w:val="center"/>
          </w:tcPr>
          <w:p w14:paraId="002A1383" w14:textId="77777777" w:rsidR="004D08E5" w:rsidRPr="00EB0495" w:rsidRDefault="004D08E5" w:rsidP="004725CE">
            <w:pPr>
              <w:jc w:val="center"/>
              <w:cnfStyle w:val="000000000000" w:firstRow="0" w:lastRow="0" w:firstColumn="0" w:lastColumn="0" w:oddVBand="0" w:evenVBand="0" w:oddHBand="0" w:evenHBand="0" w:firstRowFirstColumn="0" w:firstRowLastColumn="0" w:lastRowFirstColumn="0" w:lastRowLastColumn="0"/>
            </w:pPr>
            <w:r w:rsidRPr="00F64AD1">
              <w:t>12522,4</w:t>
            </w:r>
          </w:p>
        </w:tc>
        <w:tc>
          <w:tcPr>
            <w:tcW w:w="2976" w:type="dxa"/>
            <w:vAlign w:val="center"/>
          </w:tcPr>
          <w:p w14:paraId="693B4667" w14:textId="77777777" w:rsidR="004D08E5" w:rsidRPr="00EB0495" w:rsidRDefault="004D08E5" w:rsidP="004725CE">
            <w:pPr>
              <w:jc w:val="center"/>
              <w:cnfStyle w:val="000000000000" w:firstRow="0" w:lastRow="0" w:firstColumn="0" w:lastColumn="0" w:oddVBand="0" w:evenVBand="0" w:oddHBand="0" w:evenHBand="0" w:firstRowFirstColumn="0" w:firstRowLastColumn="0" w:lastRowFirstColumn="0" w:lastRowLastColumn="0"/>
            </w:pPr>
            <w:r w:rsidRPr="00C82CF7">
              <w:t>445,6</w:t>
            </w:r>
          </w:p>
        </w:tc>
      </w:tr>
      <w:tr w:rsidR="004D08E5" w:rsidRPr="00EB0495" w14:paraId="6E3944C3" w14:textId="77777777" w:rsidTr="004D08E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405" w:type="dxa"/>
            <w:shd w:val="clear" w:color="auto" w:fill="C5E0B3" w:themeFill="accent6" w:themeFillTint="66"/>
            <w:vAlign w:val="center"/>
          </w:tcPr>
          <w:p w14:paraId="48536685" w14:textId="77777777" w:rsidR="004D08E5" w:rsidRPr="00EB0495" w:rsidRDefault="004D08E5" w:rsidP="004725CE">
            <w:pPr>
              <w:jc w:val="center"/>
              <w:rPr>
                <w:color w:val="000000"/>
              </w:rPr>
            </w:pPr>
            <w:r w:rsidRPr="00EB0495">
              <w:rPr>
                <w:color w:val="000000"/>
              </w:rPr>
              <w:t>Brandenburg</w:t>
            </w:r>
          </w:p>
        </w:tc>
        <w:tc>
          <w:tcPr>
            <w:tcW w:w="3114" w:type="dxa"/>
            <w:vAlign w:val="center"/>
          </w:tcPr>
          <w:p w14:paraId="4290D315" w14:textId="77777777" w:rsidR="004D08E5" w:rsidRPr="00EB0495" w:rsidRDefault="004D08E5" w:rsidP="004725CE">
            <w:pPr>
              <w:jc w:val="center"/>
              <w:cnfStyle w:val="000000100000" w:firstRow="0" w:lastRow="0" w:firstColumn="0" w:lastColumn="0" w:oddVBand="0" w:evenVBand="0" w:oddHBand="1" w:evenHBand="0" w:firstRowFirstColumn="0" w:firstRowLastColumn="0" w:lastRowFirstColumn="0" w:lastRowLastColumn="0"/>
            </w:pPr>
            <w:r w:rsidRPr="00F64AD1">
              <w:t>1230,4</w:t>
            </w:r>
          </w:p>
        </w:tc>
        <w:tc>
          <w:tcPr>
            <w:tcW w:w="2976" w:type="dxa"/>
            <w:vAlign w:val="center"/>
          </w:tcPr>
          <w:p w14:paraId="48FEB381" w14:textId="77777777" w:rsidR="004D08E5" w:rsidRPr="00EB0495" w:rsidRDefault="004D08E5" w:rsidP="004725CE">
            <w:pPr>
              <w:jc w:val="center"/>
              <w:cnfStyle w:val="000000100000" w:firstRow="0" w:lastRow="0" w:firstColumn="0" w:lastColumn="0" w:oddVBand="0" w:evenVBand="0" w:oddHBand="1" w:evenHBand="0" w:firstRowFirstColumn="0" w:firstRowLastColumn="0" w:lastRowFirstColumn="0" w:lastRowLastColumn="0"/>
            </w:pPr>
            <w:r w:rsidRPr="00C82CF7">
              <w:t>389,2</w:t>
            </w:r>
          </w:p>
        </w:tc>
      </w:tr>
      <w:tr w:rsidR="004D08E5" w:rsidRPr="00EB0495" w14:paraId="34B415B6" w14:textId="77777777" w:rsidTr="004D08E5">
        <w:trPr>
          <w:trHeight w:val="252"/>
        </w:trPr>
        <w:tc>
          <w:tcPr>
            <w:cnfStyle w:val="001000000000" w:firstRow="0" w:lastRow="0" w:firstColumn="1" w:lastColumn="0" w:oddVBand="0" w:evenVBand="0" w:oddHBand="0" w:evenHBand="0" w:firstRowFirstColumn="0" w:firstRowLastColumn="0" w:lastRowFirstColumn="0" w:lastRowLastColumn="0"/>
            <w:tcW w:w="2405" w:type="dxa"/>
            <w:shd w:val="clear" w:color="auto" w:fill="C5E0B3" w:themeFill="accent6" w:themeFillTint="66"/>
            <w:vAlign w:val="center"/>
          </w:tcPr>
          <w:p w14:paraId="260FD212" w14:textId="77777777" w:rsidR="004D08E5" w:rsidRPr="00EB0495" w:rsidRDefault="004D08E5" w:rsidP="004725CE">
            <w:pPr>
              <w:jc w:val="center"/>
              <w:rPr>
                <w:color w:val="000000"/>
              </w:rPr>
            </w:pPr>
            <w:r w:rsidRPr="00EB0495">
              <w:rPr>
                <w:color w:val="000000"/>
              </w:rPr>
              <w:t>Hessen</w:t>
            </w:r>
          </w:p>
        </w:tc>
        <w:tc>
          <w:tcPr>
            <w:tcW w:w="3114" w:type="dxa"/>
            <w:vAlign w:val="center"/>
          </w:tcPr>
          <w:p w14:paraId="47FABF4D" w14:textId="77777777" w:rsidR="004D08E5" w:rsidRPr="00EB0495" w:rsidRDefault="004D08E5" w:rsidP="004725CE">
            <w:pPr>
              <w:jc w:val="center"/>
              <w:cnfStyle w:val="000000000000" w:firstRow="0" w:lastRow="0" w:firstColumn="0" w:lastColumn="0" w:oddVBand="0" w:evenVBand="0" w:oddHBand="0" w:evenHBand="0" w:firstRowFirstColumn="0" w:firstRowLastColumn="0" w:lastRowFirstColumn="0" w:lastRowLastColumn="0"/>
            </w:pPr>
            <w:r w:rsidRPr="00F64AD1">
              <w:t>12974,5</w:t>
            </w:r>
          </w:p>
        </w:tc>
        <w:tc>
          <w:tcPr>
            <w:tcW w:w="2976" w:type="dxa"/>
            <w:vAlign w:val="center"/>
          </w:tcPr>
          <w:p w14:paraId="7989C0BD" w14:textId="77777777" w:rsidR="004D08E5" w:rsidRPr="00EB0495" w:rsidRDefault="004D08E5" w:rsidP="004725CE">
            <w:pPr>
              <w:jc w:val="center"/>
              <w:cnfStyle w:val="000000000000" w:firstRow="0" w:lastRow="0" w:firstColumn="0" w:lastColumn="0" w:oddVBand="0" w:evenVBand="0" w:oddHBand="0" w:evenHBand="0" w:firstRowFirstColumn="0" w:firstRowLastColumn="0" w:lastRowFirstColumn="0" w:lastRowLastColumn="0"/>
            </w:pPr>
            <w:r w:rsidRPr="00C82CF7">
              <w:t>338,4</w:t>
            </w:r>
          </w:p>
        </w:tc>
      </w:tr>
      <w:tr w:rsidR="004D08E5" w:rsidRPr="00EB0495" w14:paraId="1C3AE86D" w14:textId="77777777" w:rsidTr="004D08E5">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405" w:type="dxa"/>
            <w:shd w:val="clear" w:color="auto" w:fill="C5E0B3" w:themeFill="accent6" w:themeFillTint="66"/>
            <w:vAlign w:val="center"/>
          </w:tcPr>
          <w:p w14:paraId="7BB1B51D" w14:textId="77777777" w:rsidR="004D08E5" w:rsidRPr="00EB0495" w:rsidRDefault="004D08E5" w:rsidP="004725CE">
            <w:pPr>
              <w:jc w:val="center"/>
              <w:rPr>
                <w:color w:val="000000"/>
              </w:rPr>
            </w:pPr>
            <w:r w:rsidRPr="00EB0495">
              <w:rPr>
                <w:color w:val="000000"/>
              </w:rPr>
              <w:t>Mecklenburg-Vorpommern</w:t>
            </w:r>
          </w:p>
        </w:tc>
        <w:tc>
          <w:tcPr>
            <w:tcW w:w="3114" w:type="dxa"/>
            <w:vAlign w:val="center"/>
          </w:tcPr>
          <w:p w14:paraId="6B7E1D1B" w14:textId="77777777" w:rsidR="004D08E5" w:rsidRPr="00EB0495" w:rsidRDefault="004D08E5" w:rsidP="004725CE">
            <w:pPr>
              <w:jc w:val="center"/>
              <w:cnfStyle w:val="000000100000" w:firstRow="0" w:lastRow="0" w:firstColumn="0" w:lastColumn="0" w:oddVBand="0" w:evenVBand="0" w:oddHBand="1" w:evenHBand="0" w:firstRowFirstColumn="0" w:firstRowLastColumn="0" w:lastRowFirstColumn="0" w:lastRowLastColumn="0"/>
            </w:pPr>
            <w:r w:rsidRPr="00F64AD1">
              <w:t>1366,0</w:t>
            </w:r>
          </w:p>
        </w:tc>
        <w:tc>
          <w:tcPr>
            <w:tcW w:w="2976" w:type="dxa"/>
            <w:vAlign w:val="center"/>
          </w:tcPr>
          <w:p w14:paraId="602F9383" w14:textId="77777777" w:rsidR="004D08E5" w:rsidRPr="00EB0495" w:rsidRDefault="004D08E5" w:rsidP="004725CE">
            <w:pPr>
              <w:jc w:val="center"/>
              <w:cnfStyle w:val="000000100000" w:firstRow="0" w:lastRow="0" w:firstColumn="0" w:lastColumn="0" w:oddVBand="0" w:evenVBand="0" w:oddHBand="1" w:evenHBand="0" w:firstRowFirstColumn="0" w:firstRowLastColumn="0" w:lastRowFirstColumn="0" w:lastRowLastColumn="0"/>
            </w:pPr>
            <w:r w:rsidRPr="00C82CF7">
              <w:t>333,4</w:t>
            </w:r>
          </w:p>
        </w:tc>
      </w:tr>
      <w:tr w:rsidR="004D08E5" w:rsidRPr="00EB0495" w14:paraId="4484BA06" w14:textId="77777777" w:rsidTr="004D08E5">
        <w:trPr>
          <w:trHeight w:val="252"/>
        </w:trPr>
        <w:tc>
          <w:tcPr>
            <w:cnfStyle w:val="001000000000" w:firstRow="0" w:lastRow="0" w:firstColumn="1" w:lastColumn="0" w:oddVBand="0" w:evenVBand="0" w:oddHBand="0" w:evenHBand="0" w:firstRowFirstColumn="0" w:firstRowLastColumn="0" w:lastRowFirstColumn="0" w:lastRowLastColumn="0"/>
            <w:tcW w:w="2405" w:type="dxa"/>
            <w:shd w:val="clear" w:color="auto" w:fill="C5E0B3" w:themeFill="accent6" w:themeFillTint="66"/>
            <w:vAlign w:val="center"/>
          </w:tcPr>
          <w:p w14:paraId="1AF35D4A" w14:textId="77777777" w:rsidR="004D08E5" w:rsidRPr="00EB0495" w:rsidRDefault="004D08E5" w:rsidP="004725CE">
            <w:pPr>
              <w:jc w:val="center"/>
              <w:rPr>
                <w:color w:val="000000"/>
              </w:rPr>
            </w:pPr>
            <w:r w:rsidRPr="00EB0495">
              <w:rPr>
                <w:color w:val="000000"/>
              </w:rPr>
              <w:t>Niedersachsen</w:t>
            </w:r>
          </w:p>
        </w:tc>
        <w:tc>
          <w:tcPr>
            <w:tcW w:w="3114" w:type="dxa"/>
            <w:vAlign w:val="center"/>
          </w:tcPr>
          <w:p w14:paraId="054EA27F" w14:textId="77777777" w:rsidR="004D08E5" w:rsidRPr="00EB0495" w:rsidRDefault="004D08E5" w:rsidP="004725CE">
            <w:pPr>
              <w:jc w:val="center"/>
              <w:cnfStyle w:val="000000000000" w:firstRow="0" w:lastRow="0" w:firstColumn="0" w:lastColumn="0" w:oddVBand="0" w:evenVBand="0" w:oddHBand="0" w:evenHBand="0" w:firstRowFirstColumn="0" w:firstRowLastColumn="0" w:lastRowFirstColumn="0" w:lastRowLastColumn="0"/>
            </w:pPr>
            <w:r w:rsidRPr="00F64AD1">
              <w:t>12556,8</w:t>
            </w:r>
          </w:p>
        </w:tc>
        <w:tc>
          <w:tcPr>
            <w:tcW w:w="2976" w:type="dxa"/>
            <w:vAlign w:val="center"/>
          </w:tcPr>
          <w:p w14:paraId="34BCA7F9" w14:textId="77777777" w:rsidR="004D08E5" w:rsidRPr="00EB0495" w:rsidRDefault="004D08E5" w:rsidP="004725CE">
            <w:pPr>
              <w:jc w:val="center"/>
              <w:cnfStyle w:val="000000000000" w:firstRow="0" w:lastRow="0" w:firstColumn="0" w:lastColumn="0" w:oddVBand="0" w:evenVBand="0" w:oddHBand="0" w:evenHBand="0" w:firstRowFirstColumn="0" w:firstRowLastColumn="0" w:lastRowFirstColumn="0" w:lastRowLastColumn="0"/>
            </w:pPr>
            <w:r w:rsidRPr="00C82CF7">
              <w:t>1328,9</w:t>
            </w:r>
          </w:p>
        </w:tc>
      </w:tr>
      <w:tr w:rsidR="004D08E5" w:rsidRPr="00EB0495" w14:paraId="0565CB6F" w14:textId="77777777" w:rsidTr="004D08E5">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405" w:type="dxa"/>
            <w:shd w:val="clear" w:color="auto" w:fill="C5E0B3" w:themeFill="accent6" w:themeFillTint="66"/>
            <w:vAlign w:val="center"/>
          </w:tcPr>
          <w:p w14:paraId="32E1455B" w14:textId="77777777" w:rsidR="004D08E5" w:rsidRPr="00EB0495" w:rsidRDefault="004D08E5" w:rsidP="004725CE">
            <w:pPr>
              <w:jc w:val="center"/>
              <w:rPr>
                <w:color w:val="000000"/>
              </w:rPr>
            </w:pPr>
            <w:r w:rsidRPr="00EB0495">
              <w:rPr>
                <w:color w:val="000000"/>
              </w:rPr>
              <w:t>Nordrhein-Westfalen</w:t>
            </w:r>
          </w:p>
        </w:tc>
        <w:tc>
          <w:tcPr>
            <w:tcW w:w="3114" w:type="dxa"/>
            <w:vAlign w:val="center"/>
          </w:tcPr>
          <w:p w14:paraId="072E9159" w14:textId="77777777" w:rsidR="004D08E5" w:rsidRPr="00EB0495" w:rsidRDefault="004D08E5" w:rsidP="004725CE">
            <w:pPr>
              <w:jc w:val="center"/>
              <w:cnfStyle w:val="000000100000" w:firstRow="0" w:lastRow="0" w:firstColumn="0" w:lastColumn="0" w:oddVBand="0" w:evenVBand="0" w:oddHBand="1" w:evenHBand="0" w:firstRowFirstColumn="0" w:firstRowLastColumn="0" w:lastRowFirstColumn="0" w:lastRowLastColumn="0"/>
            </w:pPr>
            <w:r w:rsidRPr="00017946">
              <w:t>46391,4</w:t>
            </w:r>
          </w:p>
        </w:tc>
        <w:tc>
          <w:tcPr>
            <w:tcW w:w="2976" w:type="dxa"/>
            <w:vAlign w:val="center"/>
          </w:tcPr>
          <w:p w14:paraId="208ABC48" w14:textId="77777777" w:rsidR="004D08E5" w:rsidRPr="00EB0495" w:rsidRDefault="004D08E5" w:rsidP="004725CE">
            <w:pPr>
              <w:jc w:val="center"/>
              <w:cnfStyle w:val="000000100000" w:firstRow="0" w:lastRow="0" w:firstColumn="0" w:lastColumn="0" w:oddVBand="0" w:evenVBand="0" w:oddHBand="1" w:evenHBand="0" w:firstRowFirstColumn="0" w:firstRowLastColumn="0" w:lastRowFirstColumn="0" w:lastRowLastColumn="0"/>
            </w:pPr>
            <w:r w:rsidRPr="00563F5B">
              <w:t>20092,8</w:t>
            </w:r>
          </w:p>
        </w:tc>
      </w:tr>
      <w:tr w:rsidR="004D08E5" w:rsidRPr="00EB0495" w14:paraId="50E24AD0" w14:textId="77777777" w:rsidTr="004D08E5">
        <w:trPr>
          <w:trHeight w:val="252"/>
        </w:trPr>
        <w:tc>
          <w:tcPr>
            <w:cnfStyle w:val="001000000000" w:firstRow="0" w:lastRow="0" w:firstColumn="1" w:lastColumn="0" w:oddVBand="0" w:evenVBand="0" w:oddHBand="0" w:evenHBand="0" w:firstRowFirstColumn="0" w:firstRowLastColumn="0" w:lastRowFirstColumn="0" w:lastRowLastColumn="0"/>
            <w:tcW w:w="2405" w:type="dxa"/>
            <w:shd w:val="clear" w:color="auto" w:fill="C5E0B3" w:themeFill="accent6" w:themeFillTint="66"/>
            <w:vAlign w:val="center"/>
          </w:tcPr>
          <w:p w14:paraId="2D3A1A6C" w14:textId="77777777" w:rsidR="004D08E5" w:rsidRPr="00EB0495" w:rsidRDefault="004D08E5" w:rsidP="004725CE">
            <w:pPr>
              <w:jc w:val="center"/>
              <w:rPr>
                <w:color w:val="000000"/>
              </w:rPr>
            </w:pPr>
            <w:r w:rsidRPr="00EB0495">
              <w:rPr>
                <w:color w:val="000000"/>
              </w:rPr>
              <w:t>Rheinland-Pfalz</w:t>
            </w:r>
          </w:p>
        </w:tc>
        <w:tc>
          <w:tcPr>
            <w:tcW w:w="3114" w:type="dxa"/>
            <w:vAlign w:val="center"/>
          </w:tcPr>
          <w:p w14:paraId="29146472" w14:textId="77777777" w:rsidR="004D08E5" w:rsidRPr="00EB0495" w:rsidRDefault="004D08E5" w:rsidP="004725CE">
            <w:pPr>
              <w:jc w:val="center"/>
              <w:cnfStyle w:val="000000000000" w:firstRow="0" w:lastRow="0" w:firstColumn="0" w:lastColumn="0" w:oddVBand="0" w:evenVBand="0" w:oddHBand="0" w:evenHBand="0" w:firstRowFirstColumn="0" w:firstRowLastColumn="0" w:lastRowFirstColumn="0" w:lastRowLastColumn="0"/>
            </w:pPr>
            <w:r w:rsidRPr="00017946">
              <w:t>12165,6</w:t>
            </w:r>
          </w:p>
        </w:tc>
        <w:tc>
          <w:tcPr>
            <w:tcW w:w="2976" w:type="dxa"/>
            <w:vAlign w:val="center"/>
          </w:tcPr>
          <w:p w14:paraId="0E5E40A2" w14:textId="77777777" w:rsidR="004D08E5" w:rsidRPr="00EB0495" w:rsidRDefault="004D08E5" w:rsidP="004725CE">
            <w:pPr>
              <w:jc w:val="center"/>
              <w:cnfStyle w:val="000000000000" w:firstRow="0" w:lastRow="0" w:firstColumn="0" w:lastColumn="0" w:oddVBand="0" w:evenVBand="0" w:oddHBand="0" w:evenHBand="0" w:firstRowFirstColumn="0" w:firstRowLastColumn="0" w:lastRowFirstColumn="0" w:lastRowLastColumn="0"/>
            </w:pPr>
            <w:r w:rsidRPr="00563F5B">
              <w:t>5309,5</w:t>
            </w:r>
          </w:p>
        </w:tc>
      </w:tr>
      <w:tr w:rsidR="004D08E5" w:rsidRPr="00EB0495" w14:paraId="3536CE75" w14:textId="77777777" w:rsidTr="004D08E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405" w:type="dxa"/>
            <w:shd w:val="clear" w:color="auto" w:fill="C5E0B3" w:themeFill="accent6" w:themeFillTint="66"/>
            <w:vAlign w:val="center"/>
          </w:tcPr>
          <w:p w14:paraId="145CDDBD" w14:textId="77777777" w:rsidR="004D08E5" w:rsidRPr="00EB0495" w:rsidRDefault="004D08E5" w:rsidP="004725CE">
            <w:pPr>
              <w:jc w:val="center"/>
              <w:rPr>
                <w:color w:val="000000"/>
              </w:rPr>
            </w:pPr>
            <w:r w:rsidRPr="00EB0495">
              <w:rPr>
                <w:color w:val="000000"/>
              </w:rPr>
              <w:t>Saarland</w:t>
            </w:r>
          </w:p>
        </w:tc>
        <w:tc>
          <w:tcPr>
            <w:tcW w:w="3114" w:type="dxa"/>
            <w:vAlign w:val="center"/>
          </w:tcPr>
          <w:p w14:paraId="49B35CC6" w14:textId="77777777" w:rsidR="004D08E5" w:rsidRPr="00EB0495" w:rsidRDefault="004D08E5" w:rsidP="004725CE">
            <w:pPr>
              <w:jc w:val="center"/>
              <w:cnfStyle w:val="000000100000" w:firstRow="0" w:lastRow="0" w:firstColumn="0" w:lastColumn="0" w:oddVBand="0" w:evenVBand="0" w:oddHBand="1" w:evenHBand="0" w:firstRowFirstColumn="0" w:firstRowLastColumn="0" w:lastRowFirstColumn="0" w:lastRowLastColumn="0"/>
            </w:pPr>
            <w:r w:rsidRPr="00017946">
              <w:t>2727,5</w:t>
            </w:r>
          </w:p>
        </w:tc>
        <w:tc>
          <w:tcPr>
            <w:tcW w:w="2976" w:type="dxa"/>
            <w:vAlign w:val="center"/>
          </w:tcPr>
          <w:p w14:paraId="00FAEBDB" w14:textId="77777777" w:rsidR="004D08E5" w:rsidRPr="00EB0495" w:rsidRDefault="004D08E5" w:rsidP="004725CE">
            <w:pPr>
              <w:jc w:val="center"/>
              <w:cnfStyle w:val="000000100000" w:firstRow="0" w:lastRow="0" w:firstColumn="0" w:lastColumn="0" w:oddVBand="0" w:evenVBand="0" w:oddHBand="1" w:evenHBand="0" w:firstRowFirstColumn="0" w:firstRowLastColumn="0" w:lastRowFirstColumn="0" w:lastRowLastColumn="0"/>
            </w:pPr>
            <w:r w:rsidRPr="00563F5B">
              <w:t>1218,5</w:t>
            </w:r>
          </w:p>
        </w:tc>
      </w:tr>
      <w:tr w:rsidR="004D08E5" w:rsidRPr="00EB0495" w14:paraId="2FCA4CF5" w14:textId="77777777" w:rsidTr="004D08E5">
        <w:trPr>
          <w:trHeight w:val="252"/>
        </w:trPr>
        <w:tc>
          <w:tcPr>
            <w:cnfStyle w:val="001000000000" w:firstRow="0" w:lastRow="0" w:firstColumn="1" w:lastColumn="0" w:oddVBand="0" w:evenVBand="0" w:oddHBand="0" w:evenHBand="0" w:firstRowFirstColumn="0" w:firstRowLastColumn="0" w:lastRowFirstColumn="0" w:lastRowLastColumn="0"/>
            <w:tcW w:w="2405" w:type="dxa"/>
            <w:shd w:val="clear" w:color="auto" w:fill="C5E0B3" w:themeFill="accent6" w:themeFillTint="66"/>
            <w:vAlign w:val="center"/>
          </w:tcPr>
          <w:p w14:paraId="129B2431" w14:textId="77777777" w:rsidR="004D08E5" w:rsidRPr="00EB0495" w:rsidRDefault="004D08E5" w:rsidP="004725CE">
            <w:pPr>
              <w:jc w:val="center"/>
              <w:rPr>
                <w:color w:val="000000"/>
              </w:rPr>
            </w:pPr>
            <w:r w:rsidRPr="00EB0495">
              <w:rPr>
                <w:color w:val="000000"/>
              </w:rPr>
              <w:t>Sachsen</w:t>
            </w:r>
          </w:p>
        </w:tc>
        <w:tc>
          <w:tcPr>
            <w:tcW w:w="3114" w:type="dxa"/>
            <w:vAlign w:val="center"/>
          </w:tcPr>
          <w:p w14:paraId="64C827EE" w14:textId="77777777" w:rsidR="004D08E5" w:rsidRPr="00EB0495" w:rsidRDefault="004D08E5" w:rsidP="004725CE">
            <w:pPr>
              <w:jc w:val="center"/>
              <w:cnfStyle w:val="000000000000" w:firstRow="0" w:lastRow="0" w:firstColumn="0" w:lastColumn="0" w:oddVBand="0" w:evenVBand="0" w:oddHBand="0" w:evenHBand="0" w:firstRowFirstColumn="0" w:firstRowLastColumn="0" w:lastRowFirstColumn="0" w:lastRowLastColumn="0"/>
            </w:pPr>
            <w:r w:rsidRPr="00017946">
              <w:t>2097,7</w:t>
            </w:r>
          </w:p>
        </w:tc>
        <w:tc>
          <w:tcPr>
            <w:tcW w:w="2976" w:type="dxa"/>
            <w:vAlign w:val="center"/>
          </w:tcPr>
          <w:p w14:paraId="6DB0B986" w14:textId="77777777" w:rsidR="004D08E5" w:rsidRPr="00EB0495" w:rsidRDefault="004D08E5" w:rsidP="004725CE">
            <w:pPr>
              <w:jc w:val="center"/>
              <w:cnfStyle w:val="000000000000" w:firstRow="0" w:lastRow="0" w:firstColumn="0" w:lastColumn="0" w:oddVBand="0" w:evenVBand="0" w:oddHBand="0" w:evenHBand="0" w:firstRowFirstColumn="0" w:firstRowLastColumn="0" w:lastRowFirstColumn="0" w:lastRowLastColumn="0"/>
            </w:pPr>
            <w:r w:rsidRPr="00563F5B">
              <w:t>54,1</w:t>
            </w:r>
          </w:p>
        </w:tc>
      </w:tr>
      <w:tr w:rsidR="004D08E5" w:rsidRPr="00EB0495" w14:paraId="753CCC13" w14:textId="77777777" w:rsidTr="004D08E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405" w:type="dxa"/>
            <w:shd w:val="clear" w:color="auto" w:fill="C5E0B3" w:themeFill="accent6" w:themeFillTint="66"/>
            <w:vAlign w:val="center"/>
          </w:tcPr>
          <w:p w14:paraId="7EF70F78" w14:textId="77777777" w:rsidR="004D08E5" w:rsidRPr="00EB0495" w:rsidRDefault="004D08E5" w:rsidP="004725CE">
            <w:pPr>
              <w:jc w:val="center"/>
              <w:rPr>
                <w:color w:val="000000"/>
              </w:rPr>
            </w:pPr>
            <w:r w:rsidRPr="00EB0495">
              <w:rPr>
                <w:color w:val="000000"/>
              </w:rPr>
              <w:t>Sachsen-Anhalt</w:t>
            </w:r>
          </w:p>
        </w:tc>
        <w:tc>
          <w:tcPr>
            <w:tcW w:w="3114" w:type="dxa"/>
            <w:vAlign w:val="center"/>
          </w:tcPr>
          <w:p w14:paraId="67195ED6" w14:textId="77777777" w:rsidR="004D08E5" w:rsidRPr="00EB0495" w:rsidRDefault="004D08E5" w:rsidP="004725CE">
            <w:pPr>
              <w:jc w:val="center"/>
              <w:cnfStyle w:val="000000100000" w:firstRow="0" w:lastRow="0" w:firstColumn="0" w:lastColumn="0" w:oddVBand="0" w:evenVBand="0" w:oddHBand="1" w:evenHBand="0" w:firstRowFirstColumn="0" w:firstRowLastColumn="0" w:lastRowFirstColumn="0" w:lastRowLastColumn="0"/>
            </w:pPr>
            <w:r w:rsidRPr="00017946">
              <w:t>2538,7</w:t>
            </w:r>
          </w:p>
        </w:tc>
        <w:tc>
          <w:tcPr>
            <w:tcW w:w="2976" w:type="dxa"/>
            <w:vAlign w:val="center"/>
          </w:tcPr>
          <w:p w14:paraId="5358157A" w14:textId="77777777" w:rsidR="004D08E5" w:rsidRPr="00EB0495" w:rsidRDefault="004D08E5" w:rsidP="004725CE">
            <w:pPr>
              <w:jc w:val="center"/>
              <w:cnfStyle w:val="000000100000" w:firstRow="0" w:lastRow="0" w:firstColumn="0" w:lastColumn="0" w:oddVBand="0" w:evenVBand="0" w:oddHBand="1" w:evenHBand="0" w:firstRowFirstColumn="0" w:firstRowLastColumn="0" w:lastRowFirstColumn="0" w:lastRowLastColumn="0"/>
            </w:pPr>
            <w:r w:rsidRPr="00563F5B">
              <w:t>1166,1</w:t>
            </w:r>
          </w:p>
        </w:tc>
      </w:tr>
      <w:tr w:rsidR="004D08E5" w:rsidRPr="00EB0495" w14:paraId="1E1FA8F9" w14:textId="77777777" w:rsidTr="004D08E5">
        <w:trPr>
          <w:trHeight w:val="236"/>
        </w:trPr>
        <w:tc>
          <w:tcPr>
            <w:cnfStyle w:val="001000000000" w:firstRow="0" w:lastRow="0" w:firstColumn="1" w:lastColumn="0" w:oddVBand="0" w:evenVBand="0" w:oddHBand="0" w:evenHBand="0" w:firstRowFirstColumn="0" w:firstRowLastColumn="0" w:lastRowFirstColumn="0" w:lastRowLastColumn="0"/>
            <w:tcW w:w="2405" w:type="dxa"/>
            <w:shd w:val="clear" w:color="auto" w:fill="C5E0B3" w:themeFill="accent6" w:themeFillTint="66"/>
            <w:vAlign w:val="center"/>
          </w:tcPr>
          <w:p w14:paraId="386DDE2D" w14:textId="77777777" w:rsidR="004D08E5" w:rsidRPr="00EB0495" w:rsidRDefault="004D08E5" w:rsidP="004725CE">
            <w:pPr>
              <w:jc w:val="center"/>
              <w:rPr>
                <w:color w:val="000000"/>
              </w:rPr>
            </w:pPr>
            <w:r w:rsidRPr="00EB0495">
              <w:rPr>
                <w:color w:val="000000"/>
              </w:rPr>
              <w:t>Schleswig-Holstein</w:t>
            </w:r>
          </w:p>
        </w:tc>
        <w:tc>
          <w:tcPr>
            <w:tcW w:w="3114" w:type="dxa"/>
            <w:vAlign w:val="center"/>
          </w:tcPr>
          <w:p w14:paraId="69F14620" w14:textId="77777777" w:rsidR="004D08E5" w:rsidRPr="00EB0495" w:rsidRDefault="004D08E5" w:rsidP="004725CE">
            <w:pPr>
              <w:jc w:val="center"/>
              <w:cnfStyle w:val="000000000000" w:firstRow="0" w:lastRow="0" w:firstColumn="0" w:lastColumn="0" w:oddVBand="0" w:evenVBand="0" w:oddHBand="0" w:evenHBand="0" w:firstRowFirstColumn="0" w:firstRowLastColumn="0" w:lastRowFirstColumn="0" w:lastRowLastColumn="0"/>
            </w:pPr>
            <w:r w:rsidRPr="00017946">
              <w:t>3899,4</w:t>
            </w:r>
          </w:p>
        </w:tc>
        <w:tc>
          <w:tcPr>
            <w:tcW w:w="2976" w:type="dxa"/>
            <w:vAlign w:val="center"/>
          </w:tcPr>
          <w:p w14:paraId="681C3B66" w14:textId="77777777" w:rsidR="004D08E5" w:rsidRPr="00EB0495" w:rsidRDefault="004D08E5" w:rsidP="004725CE">
            <w:pPr>
              <w:jc w:val="center"/>
              <w:cnfStyle w:val="000000000000" w:firstRow="0" w:lastRow="0" w:firstColumn="0" w:lastColumn="0" w:oddVBand="0" w:evenVBand="0" w:oddHBand="0" w:evenHBand="0" w:firstRowFirstColumn="0" w:firstRowLastColumn="0" w:lastRowFirstColumn="0" w:lastRowLastColumn="0"/>
            </w:pPr>
            <w:r w:rsidRPr="00563F5B">
              <w:t>391,5</w:t>
            </w:r>
          </w:p>
        </w:tc>
      </w:tr>
      <w:tr w:rsidR="004D08E5" w:rsidRPr="00EB0495" w14:paraId="0C70AB4F" w14:textId="77777777" w:rsidTr="004D08E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405" w:type="dxa"/>
            <w:shd w:val="clear" w:color="auto" w:fill="C5E0B3" w:themeFill="accent6" w:themeFillTint="66"/>
            <w:vAlign w:val="center"/>
          </w:tcPr>
          <w:p w14:paraId="3FA22808" w14:textId="77777777" w:rsidR="004D08E5" w:rsidRPr="00EB0495" w:rsidRDefault="004D08E5" w:rsidP="004725CE">
            <w:pPr>
              <w:jc w:val="center"/>
              <w:rPr>
                <w:color w:val="000000"/>
              </w:rPr>
            </w:pPr>
            <w:r w:rsidRPr="00EB0495">
              <w:rPr>
                <w:color w:val="000000"/>
              </w:rPr>
              <w:t>Thüringen</w:t>
            </w:r>
          </w:p>
        </w:tc>
        <w:tc>
          <w:tcPr>
            <w:tcW w:w="3114" w:type="dxa"/>
            <w:vAlign w:val="center"/>
          </w:tcPr>
          <w:p w14:paraId="4AE69100" w14:textId="77777777" w:rsidR="004D08E5" w:rsidRPr="00EB0495" w:rsidRDefault="004D08E5" w:rsidP="004725CE">
            <w:pPr>
              <w:jc w:val="center"/>
              <w:cnfStyle w:val="000000100000" w:firstRow="0" w:lastRow="0" w:firstColumn="0" w:lastColumn="0" w:oddVBand="0" w:evenVBand="0" w:oddHBand="1" w:evenHBand="0" w:firstRowFirstColumn="0" w:firstRowLastColumn="0" w:lastRowFirstColumn="0" w:lastRowLastColumn="0"/>
            </w:pPr>
            <w:r w:rsidRPr="00017946">
              <w:t>1383,0</w:t>
            </w:r>
          </w:p>
        </w:tc>
        <w:tc>
          <w:tcPr>
            <w:tcW w:w="2976" w:type="dxa"/>
            <w:vAlign w:val="center"/>
          </w:tcPr>
          <w:p w14:paraId="0A557B87" w14:textId="77777777" w:rsidR="004D08E5" w:rsidRPr="00EB0495" w:rsidRDefault="004D08E5" w:rsidP="004725CE">
            <w:pPr>
              <w:jc w:val="center"/>
              <w:cnfStyle w:val="000000100000" w:firstRow="0" w:lastRow="0" w:firstColumn="0" w:lastColumn="0" w:oddVBand="0" w:evenVBand="0" w:oddHBand="1" w:evenHBand="0" w:firstRowFirstColumn="0" w:firstRowLastColumn="0" w:lastRowFirstColumn="0" w:lastRowLastColumn="0"/>
            </w:pPr>
            <w:r w:rsidRPr="00563F5B">
              <w:t>59,0</w:t>
            </w:r>
          </w:p>
        </w:tc>
      </w:tr>
      <w:tr w:rsidR="004D08E5" w:rsidRPr="00EB0495" w14:paraId="2062872F" w14:textId="77777777" w:rsidTr="004D08E5">
        <w:trPr>
          <w:trHeight w:val="252"/>
        </w:trPr>
        <w:tc>
          <w:tcPr>
            <w:cnfStyle w:val="001000000000" w:firstRow="0" w:lastRow="0" w:firstColumn="1" w:lastColumn="0" w:oddVBand="0" w:evenVBand="0" w:oddHBand="0" w:evenHBand="0" w:firstRowFirstColumn="0" w:firstRowLastColumn="0" w:lastRowFirstColumn="0" w:lastRowLastColumn="0"/>
            <w:tcW w:w="8495" w:type="dxa"/>
            <w:gridSpan w:val="3"/>
            <w:shd w:val="clear" w:color="auto" w:fill="C5E0B3" w:themeFill="accent6" w:themeFillTint="66"/>
            <w:vAlign w:val="center"/>
          </w:tcPr>
          <w:p w14:paraId="5968B131" w14:textId="77777777" w:rsidR="004D08E5" w:rsidRPr="00EB0495" w:rsidRDefault="004D08E5" w:rsidP="004725CE">
            <w:pPr>
              <w:jc w:val="center"/>
              <w:rPr>
                <w:b w:val="0"/>
                <w:color w:val="000000"/>
              </w:rPr>
            </w:pPr>
          </w:p>
        </w:tc>
      </w:tr>
      <w:tr w:rsidR="004D08E5" w:rsidRPr="00EB0495" w14:paraId="2BD47687" w14:textId="77777777" w:rsidTr="004D08E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405" w:type="dxa"/>
            <w:shd w:val="clear" w:color="auto" w:fill="C5E0B3" w:themeFill="accent6" w:themeFillTint="66"/>
            <w:vAlign w:val="center"/>
          </w:tcPr>
          <w:p w14:paraId="7EE8DC81" w14:textId="77777777" w:rsidR="004D08E5" w:rsidRPr="00EB0495" w:rsidRDefault="004D08E5" w:rsidP="004725CE">
            <w:pPr>
              <w:jc w:val="center"/>
              <w:rPr>
                <w:color w:val="000000"/>
              </w:rPr>
            </w:pPr>
            <w:r w:rsidRPr="00EB0495">
              <w:rPr>
                <w:color w:val="000000"/>
              </w:rPr>
              <w:t>Gesamt</w:t>
            </w:r>
          </w:p>
        </w:tc>
        <w:tc>
          <w:tcPr>
            <w:tcW w:w="3114" w:type="dxa"/>
            <w:vAlign w:val="center"/>
          </w:tcPr>
          <w:p w14:paraId="4660372D" w14:textId="77777777" w:rsidR="004D08E5" w:rsidRPr="00EB0495" w:rsidRDefault="004D08E5" w:rsidP="004725CE">
            <w:pPr>
              <w:jc w:val="center"/>
              <w:cnfStyle w:val="000000100000" w:firstRow="0" w:lastRow="0" w:firstColumn="0" w:lastColumn="0" w:oddVBand="0" w:evenVBand="0" w:oddHBand="1" w:evenHBand="0" w:firstRowFirstColumn="0" w:firstRowLastColumn="0" w:lastRowFirstColumn="0" w:lastRowLastColumn="0"/>
            </w:pPr>
            <w:r w:rsidRPr="00444B13">
              <w:t xml:space="preserve">  </w:t>
            </w:r>
            <w:r w:rsidRPr="00B601AF">
              <w:t>118099,4</w:t>
            </w:r>
          </w:p>
        </w:tc>
        <w:tc>
          <w:tcPr>
            <w:tcW w:w="2976" w:type="dxa"/>
            <w:vAlign w:val="center"/>
          </w:tcPr>
          <w:p w14:paraId="74318BFE" w14:textId="77777777" w:rsidR="004D08E5" w:rsidRPr="00EB0495" w:rsidRDefault="004D08E5" w:rsidP="004725CE">
            <w:pPr>
              <w:jc w:val="center"/>
              <w:cnfStyle w:val="000000100000" w:firstRow="0" w:lastRow="0" w:firstColumn="0" w:lastColumn="0" w:oddVBand="0" w:evenVBand="0" w:oddHBand="1" w:evenHBand="0" w:firstRowFirstColumn="0" w:firstRowLastColumn="0" w:lastRowFirstColumn="0" w:lastRowLastColumn="0"/>
            </w:pPr>
            <w:r w:rsidRPr="00B601AF">
              <w:t>31563,2</w:t>
            </w:r>
          </w:p>
        </w:tc>
      </w:tr>
    </w:tbl>
    <w:p w14:paraId="10D3D836" w14:textId="77777777" w:rsidR="004D08E5" w:rsidRPr="00C60103" w:rsidRDefault="004D08E5" w:rsidP="00DD014D">
      <w:pPr>
        <w:ind w:left="1418"/>
        <w:jc w:val="both"/>
      </w:pPr>
      <w:r>
        <w:rPr>
          <w:color w:val="000000"/>
        </w:rPr>
        <w:t xml:space="preserve">Die Fachserie zum Schuldenstand ist hier abrufbar: </w:t>
      </w:r>
      <w:hyperlink r:id="rId10" w:history="1">
        <w:r w:rsidRPr="006B1DA2">
          <w:rPr>
            <w:rStyle w:val="Hyperlink"/>
          </w:rPr>
          <w:t>https://www.destatis.de/DE/Themen/Staat/Oeffentliche-Finanzen/Schulden-Finanzvermoegen/Publikationen/Downloads-Schulden/vorl-schulden-oeffentlicher-haushalte-2140520213215.xlsx?__blob=publicationFile</w:t>
        </w:r>
      </w:hyperlink>
    </w:p>
    <w:p w14:paraId="2A1A47D1" w14:textId="77777777" w:rsidR="004D08E5" w:rsidRDefault="004D08E5" w:rsidP="00DD014D">
      <w:pPr>
        <w:ind w:left="1418"/>
        <w:jc w:val="both"/>
        <w:rPr>
          <w:bCs/>
          <w:color w:val="000000"/>
        </w:rPr>
      </w:pPr>
    </w:p>
    <w:p w14:paraId="4D41D93E" w14:textId="77777777" w:rsidR="004D08E5" w:rsidRPr="00C60103" w:rsidRDefault="004D08E5" w:rsidP="00DD014D">
      <w:pPr>
        <w:ind w:left="1418"/>
        <w:jc w:val="both"/>
      </w:pPr>
      <w:r w:rsidRPr="007F0467">
        <w:t xml:space="preserve">(II/3 </w:t>
      </w:r>
      <w:r>
        <w:t>920-20</w:t>
      </w:r>
      <w:r w:rsidRPr="007F0467">
        <w:t xml:space="preserve"> Florian Schilling,</w:t>
      </w:r>
      <w:r>
        <w:t xml:space="preserve"> 08.07.2021</w:t>
      </w:r>
      <w:r w:rsidRPr="007F0467">
        <w:t>)</w:t>
      </w:r>
    </w:p>
    <w:p w14:paraId="723801D4" w14:textId="77777777" w:rsidR="008E50C8" w:rsidRDefault="008E50C8" w:rsidP="00DD014D">
      <w:pPr>
        <w:ind w:left="1418"/>
        <w:jc w:val="both"/>
      </w:pPr>
    </w:p>
    <w:p w14:paraId="69AB07D7" w14:textId="77777777" w:rsidR="008E50C8" w:rsidRPr="00004857" w:rsidRDefault="008E50C8" w:rsidP="008E50C8">
      <w:pPr>
        <w:ind w:left="1418"/>
      </w:pPr>
    </w:p>
    <w:p w14:paraId="6158BD9D" w14:textId="77777777" w:rsidR="002927F1" w:rsidRPr="002927F1" w:rsidRDefault="002927F1" w:rsidP="002927F1">
      <w:pPr>
        <w:ind w:left="1418"/>
      </w:pPr>
    </w:p>
    <w:p w14:paraId="246F0934" w14:textId="77777777" w:rsidR="0028439B" w:rsidRPr="0028439B" w:rsidRDefault="00462B02" w:rsidP="0028439B">
      <w:pPr>
        <w:jc w:val="right"/>
        <w:rPr>
          <w:b/>
          <w:sz w:val="18"/>
        </w:rPr>
      </w:pPr>
      <w:hyperlink w:anchor="_top" w:history="1">
        <w:r w:rsidR="0028439B" w:rsidRPr="0028439B">
          <w:rPr>
            <w:rStyle w:val="Hyperlink"/>
            <w:b/>
            <w:color w:val="auto"/>
            <w:sz w:val="18"/>
          </w:rPr>
          <w:t>Inhaltsverzeichnis</w:t>
        </w:r>
      </w:hyperlink>
    </w:p>
    <w:p w14:paraId="52C0C936" w14:textId="77777777" w:rsidR="00547626" w:rsidRDefault="00547626">
      <w:pPr>
        <w:rPr>
          <w:bCs/>
        </w:rPr>
      </w:pPr>
      <w:r>
        <w:rPr>
          <w:bCs/>
        </w:rPr>
        <w:br w:type="page"/>
      </w:r>
    </w:p>
    <w:p w14:paraId="48F3F4BC" w14:textId="77777777" w:rsidR="00547626" w:rsidRPr="00D64B28" w:rsidRDefault="00547626" w:rsidP="00547626">
      <w:pPr>
        <w:rPr>
          <w:b/>
          <w:sz w:val="40"/>
          <w:highlight w:val="lightGray"/>
        </w:rPr>
      </w:pPr>
      <w:r>
        <w:rPr>
          <w:b/>
          <w:sz w:val="40"/>
          <w:highlight w:val="lightGray"/>
        </w:rPr>
        <w:lastRenderedPageBreak/>
        <w:t>FINANZEN UND KOMMUNALWIRTSCHAFT</w:t>
      </w:r>
    </w:p>
    <w:p w14:paraId="52009B26" w14:textId="77777777" w:rsidR="00547626" w:rsidRPr="00547E93" w:rsidRDefault="00547626" w:rsidP="00547626">
      <w:pPr>
        <w:tabs>
          <w:tab w:val="left" w:pos="1418"/>
        </w:tabs>
        <w:rPr>
          <w:b/>
          <w:sz w:val="28"/>
          <w:szCs w:val="28"/>
        </w:rPr>
      </w:pPr>
    </w:p>
    <w:p w14:paraId="7C4CEC40" w14:textId="77777777" w:rsidR="004D08E5" w:rsidRPr="004D08E5" w:rsidRDefault="00C67E44" w:rsidP="004D08E5">
      <w:pPr>
        <w:pStyle w:val="2"/>
        <w:spacing w:before="0" w:after="0"/>
      </w:pPr>
      <w:bookmarkStart w:id="12" w:name="_Toc76732605"/>
      <w:r>
        <w:t>2721</w:t>
      </w:r>
      <w:r w:rsidR="00547626" w:rsidRPr="00547E93">
        <w:t>-</w:t>
      </w:r>
      <w:r w:rsidR="00AE3FD3">
        <w:t>0</w:t>
      </w:r>
      <w:r w:rsidR="00DD014D">
        <w:t>5</w:t>
      </w:r>
      <w:r w:rsidR="00547626" w:rsidRPr="00547E93">
        <w:tab/>
      </w:r>
      <w:r w:rsidR="004D08E5">
        <w:t>Haushaltszahlen 1. Quartal 2021</w:t>
      </w:r>
      <w:bookmarkEnd w:id="12"/>
    </w:p>
    <w:p w14:paraId="2E103F39" w14:textId="77777777" w:rsidR="004D08E5" w:rsidRDefault="004D08E5" w:rsidP="004D08E5">
      <w:pPr>
        <w:ind w:left="1418"/>
        <w:rPr>
          <w:color w:val="000000"/>
        </w:rPr>
      </w:pPr>
    </w:p>
    <w:p w14:paraId="40563DCE" w14:textId="77777777" w:rsidR="004D08E5" w:rsidRDefault="004D08E5" w:rsidP="00DD014D">
      <w:pPr>
        <w:ind w:left="1418"/>
        <w:jc w:val="both"/>
        <w:rPr>
          <w:rFonts w:ascii="Calibri" w:hAnsi="Calibri" w:cs="Calibri"/>
          <w:noProof/>
        </w:rPr>
      </w:pPr>
      <w:r>
        <w:rPr>
          <w:b/>
          <w:bCs/>
          <w:color w:val="000000"/>
        </w:rPr>
        <w:t xml:space="preserve">Auch das 1. Quartal 2021 ist von den haushalterischen Auswirkungen der Corona-Pandemie auf die Städte und Gemeinden geprägt. Die Krise ist noch nicht vorbei. Während sich die Steuereinnahmen nur langsam erholen, steigen vor allem die Ausgaben für Personal und soziale Leistungen spürbar an. Ohne einen weiteren kommunalen Rettungsschirm von Bund und Ländern werden die Kommunen das Haushaltsjahr 2021 mit einem deutlich negativen Saldo abschließen und langfristig ihre Investitionen sowie Ausgaben für „freiwillige“ Angebote in Kultur, Sport und Soziales herunterfahren müssen. </w:t>
      </w:r>
    </w:p>
    <w:p w14:paraId="478DE858" w14:textId="77777777" w:rsidR="004D08E5" w:rsidRDefault="004D08E5" w:rsidP="00DD014D">
      <w:pPr>
        <w:ind w:left="1418"/>
        <w:jc w:val="both"/>
        <w:rPr>
          <w:bCs/>
          <w:color w:val="000000"/>
        </w:rPr>
      </w:pPr>
    </w:p>
    <w:p w14:paraId="2A175003" w14:textId="00387BD9" w:rsidR="004D08E5" w:rsidRDefault="004D08E5" w:rsidP="00DD014D">
      <w:pPr>
        <w:ind w:left="1418"/>
        <w:jc w:val="both"/>
        <w:rPr>
          <w:bCs/>
          <w:color w:val="000000"/>
        </w:rPr>
      </w:pPr>
      <w:r>
        <w:rPr>
          <w:bCs/>
          <w:color w:val="000000"/>
        </w:rPr>
        <w:t>Nach aktuellen Zahlen des Statistischen Bundesamtes haben die kommunalen Kernhaushalte das 1. Quartal in der Summe mit einem Minus in Höhe von -8,7 Mrd. Euro abgeschlossen. Ein negativer Saldo nach dem 1. Quartal ist jedoch nicht ungewöhnlich, sondern eher der Normalfall. Vor Ausbruch der Corona-Pandemie waren es im Jahr 2019 nach dem 1. Quartal 2019 zum Beispiel -4,9 Mrd. Euro und dennoch konnte in der Summe am Ende ein Finanzierungsüberschuss von +4,5 Mrd. Euro erwirtschaftet werden. Im vergangenen Jahr lag das Minus nach dem 1.</w:t>
      </w:r>
      <w:r w:rsidR="002706B9">
        <w:rPr>
          <w:bCs/>
          <w:color w:val="000000"/>
        </w:rPr>
        <w:t> </w:t>
      </w:r>
      <w:r>
        <w:rPr>
          <w:bCs/>
          <w:color w:val="000000"/>
        </w:rPr>
        <w:t>Quartal im Übrigen bei -9,6 Mrd. Euro (aufgrund der Hilfen von Bund und Ländern lag der Finanzierungssaldo nach vier Quartalen dann bei +2,7 Mrd. €).</w:t>
      </w:r>
    </w:p>
    <w:p w14:paraId="5B6546F9" w14:textId="77777777" w:rsidR="004D08E5" w:rsidRDefault="004D08E5" w:rsidP="004D08E5">
      <w:pPr>
        <w:ind w:left="1418"/>
        <w:rPr>
          <w:bCs/>
          <w:color w:val="000000"/>
        </w:rPr>
      </w:pPr>
    </w:p>
    <w:p w14:paraId="5760AE06" w14:textId="51E43711" w:rsidR="004D08E5" w:rsidRDefault="004D08E5" w:rsidP="00DD014D">
      <w:pPr>
        <w:ind w:left="1418"/>
        <w:jc w:val="both"/>
        <w:rPr>
          <w:bCs/>
          <w:color w:val="000000"/>
        </w:rPr>
      </w:pPr>
      <w:r>
        <w:rPr>
          <w:bCs/>
          <w:color w:val="000000"/>
        </w:rPr>
        <w:t>Das aktuelle Minus ist also ähnlich hoch wie im vergangenen Jahr. Das Aufkommen aus der Gewerbesteuer (netto) lag mit knapp 12,4 Mrd. Euro leicht über den 12,16 Mrd. Euro aus dem Vorjahr. Dies ist aber trotz der ausgelaufenen erhöhten Gewerbesteuerumlage (sog. Solidarpaktumlage) immer noch weniger als die 12,86 Mrd. Euro</w:t>
      </w:r>
      <w:r w:rsidRPr="0005556F">
        <w:rPr>
          <w:bCs/>
          <w:color w:val="000000"/>
        </w:rPr>
        <w:t xml:space="preserve"> </w:t>
      </w:r>
      <w:r>
        <w:rPr>
          <w:bCs/>
          <w:color w:val="000000"/>
        </w:rPr>
        <w:t>nach dem 1. Quartal 2019. Insgesamt stiegen die gemeindlichen Steuereinnahmen im Vergleich zum Vorjahresquartal auf 17,3 Mrd. Euro an (1. Quartal 2020: 16,4</w:t>
      </w:r>
      <w:r w:rsidR="002706B9">
        <w:rPr>
          <w:bCs/>
          <w:color w:val="000000"/>
        </w:rPr>
        <w:t> </w:t>
      </w:r>
      <w:r>
        <w:rPr>
          <w:bCs/>
          <w:color w:val="000000"/>
        </w:rPr>
        <w:t xml:space="preserve">Mrd. €, 2019: 17,2 Mrd. €). </w:t>
      </w:r>
    </w:p>
    <w:p w14:paraId="330107C7" w14:textId="77777777" w:rsidR="004D08E5" w:rsidRDefault="004D08E5" w:rsidP="00DD014D">
      <w:pPr>
        <w:ind w:left="1418"/>
        <w:jc w:val="both"/>
        <w:rPr>
          <w:bCs/>
          <w:color w:val="000000"/>
        </w:rPr>
      </w:pPr>
    </w:p>
    <w:p w14:paraId="499430D6" w14:textId="5E6E2C30" w:rsidR="004D08E5" w:rsidRDefault="004D08E5" w:rsidP="00DD014D">
      <w:pPr>
        <w:ind w:left="1418"/>
        <w:jc w:val="both"/>
        <w:rPr>
          <w:bCs/>
          <w:color w:val="000000"/>
        </w:rPr>
      </w:pPr>
      <w:r>
        <w:rPr>
          <w:bCs/>
          <w:color w:val="000000"/>
        </w:rPr>
        <w:t xml:space="preserve">Auf der Ausgabenseite wuchsen im 1. Quartal 2021 vor allem die Personalausgaben spürbar auf nunmehr 16,2 Mrd. Euro an (1. Quartal 2020: 15,6 Mrd. €, </w:t>
      </w:r>
      <w:r w:rsidRPr="00D21C6D">
        <w:rPr>
          <w:bCs/>
          <w:color w:val="000000"/>
        </w:rPr>
        <w:t>2019: 14,6 Mrd. €). Die Ausgaben für Baumaßnahmen blieben im 1. Quartal 2021 mit 4,8 Mrd. Euro stabil (1. Quartal 2020: 4,9</w:t>
      </w:r>
      <w:r w:rsidR="002706B9">
        <w:rPr>
          <w:bCs/>
          <w:color w:val="000000"/>
        </w:rPr>
        <w:t> </w:t>
      </w:r>
      <w:r w:rsidRPr="00D21C6D">
        <w:rPr>
          <w:bCs/>
          <w:color w:val="000000"/>
        </w:rPr>
        <w:t>Mrd.</w:t>
      </w:r>
      <w:r w:rsidR="002706B9">
        <w:rPr>
          <w:bCs/>
          <w:color w:val="000000"/>
        </w:rPr>
        <w:t> </w:t>
      </w:r>
      <w:r w:rsidRPr="00D21C6D">
        <w:rPr>
          <w:bCs/>
          <w:color w:val="000000"/>
        </w:rPr>
        <w:t>€, 1. Quartal 2019 4,1). Die Auswirkungen der Corona-Pandemie zeigen sich</w:t>
      </w:r>
      <w:r>
        <w:rPr>
          <w:bCs/>
          <w:color w:val="000000"/>
        </w:rPr>
        <w:t xml:space="preserve"> ferner</w:t>
      </w:r>
      <w:r w:rsidRPr="00D21C6D">
        <w:rPr>
          <w:bCs/>
          <w:color w:val="000000"/>
        </w:rPr>
        <w:t xml:space="preserve"> spürbar bei den Ausgaben für soziale Leistungen, die auf nunmehr 15,75 Mrd. Euro angestiegen sind (1.</w:t>
      </w:r>
      <w:r>
        <w:rPr>
          <w:bCs/>
          <w:color w:val="000000"/>
        </w:rPr>
        <w:t> </w:t>
      </w:r>
      <w:r w:rsidRPr="00D21C6D">
        <w:rPr>
          <w:bCs/>
          <w:color w:val="000000"/>
        </w:rPr>
        <w:t>Quartal 2020 14,9</w:t>
      </w:r>
      <w:r w:rsidR="00DB4C25">
        <w:rPr>
          <w:bCs/>
          <w:color w:val="000000"/>
        </w:rPr>
        <w:t> </w:t>
      </w:r>
      <w:r w:rsidRPr="00D21C6D">
        <w:rPr>
          <w:bCs/>
          <w:color w:val="000000"/>
        </w:rPr>
        <w:t>Mrd. €).</w:t>
      </w:r>
    </w:p>
    <w:p w14:paraId="55226FE3" w14:textId="77777777" w:rsidR="004D08E5" w:rsidRDefault="004D08E5" w:rsidP="004D08E5">
      <w:pPr>
        <w:ind w:left="1418"/>
        <w:rPr>
          <w:bCs/>
          <w:color w:val="000000"/>
        </w:rPr>
      </w:pPr>
    </w:p>
    <w:p w14:paraId="252B31C1" w14:textId="77777777" w:rsidR="004D08E5" w:rsidRPr="00D019E3" w:rsidRDefault="004D08E5" w:rsidP="004D08E5">
      <w:pPr>
        <w:ind w:left="1418"/>
        <w:rPr>
          <w:b/>
          <w:bCs/>
        </w:rPr>
      </w:pPr>
      <w:r w:rsidRPr="00D019E3">
        <w:rPr>
          <w:b/>
          <w:bCs/>
        </w:rPr>
        <w:t>Bewertung</w:t>
      </w:r>
    </w:p>
    <w:p w14:paraId="05208E3C" w14:textId="77777777" w:rsidR="004D08E5" w:rsidRDefault="004D08E5" w:rsidP="004D08E5">
      <w:pPr>
        <w:ind w:left="1418"/>
        <w:rPr>
          <w:bCs/>
          <w:color w:val="000000"/>
        </w:rPr>
      </w:pPr>
    </w:p>
    <w:p w14:paraId="4CFD5476" w14:textId="352DEC43" w:rsidR="004D08E5" w:rsidRDefault="004D08E5" w:rsidP="00DD014D">
      <w:pPr>
        <w:ind w:left="1418"/>
        <w:jc w:val="both"/>
        <w:rPr>
          <w:bCs/>
          <w:color w:val="000000"/>
        </w:rPr>
      </w:pPr>
      <w:r>
        <w:rPr>
          <w:bCs/>
          <w:color w:val="000000"/>
        </w:rPr>
        <w:t xml:space="preserve">Die Haushaltszahlen zum 1. Quartal unterstreichen die Notwendigkeit einer nochmaligen finanziellen Unterstützung der Kommunen im Zuge der Corona-Krise durch Bund und Länder. Während die Steuereinnahmen </w:t>
      </w:r>
      <w:r>
        <w:rPr>
          <w:bCs/>
          <w:color w:val="000000"/>
        </w:rPr>
        <w:lastRenderedPageBreak/>
        <w:t>noch deutlich unter den Vorkrisen-Annahmen liegen und nach dem 1.</w:t>
      </w:r>
      <w:r w:rsidR="002706B9">
        <w:rPr>
          <w:bCs/>
          <w:color w:val="000000"/>
        </w:rPr>
        <w:t> </w:t>
      </w:r>
      <w:r>
        <w:rPr>
          <w:bCs/>
          <w:color w:val="000000"/>
        </w:rPr>
        <w:t>Quartal überhaupt erst wieder das Niveau von 2019 erreicht haben, sind die Ausgaben, insbesondere in den Bereichen Personal, soziale Leistungen und Investitionen, spürbar gestiegen. Ohne weitere Hilfen steht zu befürchten, dass die Städte und Gemeinden gezwungen sind, ihre Investitionen und ihre Ausgabe für „freiwillige“ Angebote in den Bereichen Kultur, Sport und Soziales herunterzufahren. Angesichts des bestehenden massiven kommunalen Investitionsrückstandes von zuletzt 149 Mrd. Euro und dem bereits heute bröckelnden gesellschaftlichen Zusammenhalt wäre dies fatal, auch mit Blick auf die Gleichwertigkeit der Lebensverhältnisse. Ein zweiter kommunaler Rettungsschirm ist aus Sicht des Deutschen Städte- und Gemeindebundes daher faktisch alternativlos. Hierauf hat der DStGB auch in gemeinsamen Papieren und Beiträgen unter anderem mit dem Zentralverband der Deutschen Bauwirtschaft (ZDB), dem Deutschen Gewerkschaftsbund und der Vereinten Dienstleistungsgewerkschaft nachdrücklich hingewiesen.</w:t>
      </w:r>
    </w:p>
    <w:p w14:paraId="2D9E0357" w14:textId="77777777" w:rsidR="004D08E5" w:rsidRDefault="004D08E5" w:rsidP="00DD014D">
      <w:pPr>
        <w:ind w:left="1418"/>
        <w:jc w:val="both"/>
        <w:rPr>
          <w:bCs/>
          <w:color w:val="000000"/>
        </w:rPr>
      </w:pPr>
    </w:p>
    <w:p w14:paraId="21F2FD98" w14:textId="77777777" w:rsidR="004D08E5" w:rsidRDefault="004D08E5" w:rsidP="00DD014D">
      <w:pPr>
        <w:ind w:left="1418"/>
        <w:jc w:val="both"/>
        <w:rPr>
          <w:bCs/>
          <w:color w:val="000000"/>
        </w:rPr>
      </w:pPr>
      <w:r>
        <w:rPr>
          <w:bCs/>
          <w:color w:val="000000"/>
        </w:rPr>
        <w:t xml:space="preserve">ZDB/DStGB-Positionspapier „Kommunale Investitionen als Konjunkturmotor – 2. Kommunaler Rettungsschirm für die Jahre 2021 + 2022 erforderlich!“: </w:t>
      </w:r>
      <w:hyperlink r:id="rId11" w:history="1">
        <w:r w:rsidRPr="00265E42">
          <w:rPr>
            <w:rStyle w:val="Hyperlink"/>
            <w:bCs/>
          </w:rPr>
          <w:t>https://www.dstgb.de/publikationen/pressemitteilungen/planungssicherheit-fuer-kommunen-und-bauwirtschaft/</w:t>
        </w:r>
      </w:hyperlink>
      <w:r>
        <w:rPr>
          <w:bCs/>
          <w:color w:val="000000"/>
        </w:rPr>
        <w:t xml:space="preserve"> </w:t>
      </w:r>
    </w:p>
    <w:p w14:paraId="01F773A9" w14:textId="77777777" w:rsidR="004D08E5" w:rsidRDefault="004D08E5" w:rsidP="00DD014D">
      <w:pPr>
        <w:ind w:left="1418"/>
        <w:jc w:val="both"/>
        <w:rPr>
          <w:bCs/>
          <w:color w:val="000000"/>
        </w:rPr>
      </w:pPr>
    </w:p>
    <w:p w14:paraId="0D1CB9CB" w14:textId="77777777" w:rsidR="004D08E5" w:rsidRDefault="004D08E5" w:rsidP="00DD014D">
      <w:pPr>
        <w:ind w:left="1418"/>
        <w:jc w:val="both"/>
        <w:rPr>
          <w:bCs/>
          <w:color w:val="000000"/>
        </w:rPr>
      </w:pPr>
      <w:r>
        <w:rPr>
          <w:bCs/>
          <w:color w:val="000000"/>
        </w:rPr>
        <w:t>DGB/DStGB-Gastbeitrag Frankfurter Rundschau „</w:t>
      </w:r>
      <w:r w:rsidRPr="00F07232">
        <w:rPr>
          <w:bCs/>
          <w:color w:val="000000"/>
        </w:rPr>
        <w:t>Kommunen müssen investieren</w:t>
      </w:r>
      <w:r>
        <w:rPr>
          <w:bCs/>
          <w:color w:val="000000"/>
        </w:rPr>
        <w:t xml:space="preserve"> – </w:t>
      </w:r>
      <w:r w:rsidRPr="00F07232">
        <w:rPr>
          <w:bCs/>
          <w:color w:val="000000"/>
        </w:rPr>
        <w:t>Ein Sparkurs nach der Corona-Zeit wäre eine Katastrophe</w:t>
      </w:r>
      <w:r>
        <w:rPr>
          <w:bCs/>
          <w:color w:val="000000"/>
        </w:rPr>
        <w:t xml:space="preserve">“: </w:t>
      </w:r>
      <w:hyperlink r:id="rId12" w:history="1">
        <w:r w:rsidRPr="00265E42">
          <w:rPr>
            <w:rStyle w:val="Hyperlink"/>
            <w:bCs/>
          </w:rPr>
          <w:t>https://www.fr.de/meinung/gastbeitraege/kommunen-muessen-investieren-90784575.html</w:t>
        </w:r>
      </w:hyperlink>
    </w:p>
    <w:p w14:paraId="22105859" w14:textId="77777777" w:rsidR="004D08E5" w:rsidRDefault="004D08E5" w:rsidP="00DD014D">
      <w:pPr>
        <w:ind w:left="1418"/>
        <w:jc w:val="both"/>
        <w:rPr>
          <w:bCs/>
          <w:color w:val="000000"/>
        </w:rPr>
      </w:pPr>
    </w:p>
    <w:p w14:paraId="681A1042" w14:textId="77777777" w:rsidR="004D08E5" w:rsidRDefault="004D08E5" w:rsidP="00DD014D">
      <w:pPr>
        <w:ind w:left="1418"/>
        <w:jc w:val="both"/>
        <w:rPr>
          <w:bCs/>
          <w:color w:val="000000"/>
        </w:rPr>
      </w:pPr>
      <w:r>
        <w:rPr>
          <w:bCs/>
          <w:color w:val="000000"/>
        </w:rPr>
        <w:t>Ver.di/DStGB-</w:t>
      </w:r>
      <w:r w:rsidRPr="00D7650A">
        <w:rPr>
          <w:bCs/>
          <w:color w:val="000000"/>
        </w:rPr>
        <w:t>Erklärung</w:t>
      </w:r>
      <w:r>
        <w:rPr>
          <w:bCs/>
          <w:color w:val="000000"/>
        </w:rPr>
        <w:t xml:space="preserve"> „</w:t>
      </w:r>
      <w:r w:rsidRPr="00D7650A">
        <w:rPr>
          <w:bCs/>
          <w:color w:val="000000"/>
        </w:rPr>
        <w:t>Handeln für das Gemeinwesen: ein Rettungsschirm für die Kommunen!</w:t>
      </w:r>
      <w:r>
        <w:rPr>
          <w:bCs/>
          <w:color w:val="000000"/>
        </w:rPr>
        <w:t xml:space="preserve">“: </w:t>
      </w:r>
      <w:hyperlink r:id="rId13" w:history="1">
        <w:r w:rsidRPr="00D7650A">
          <w:rPr>
            <w:rStyle w:val="Hyperlink"/>
            <w:bCs/>
          </w:rPr>
          <w:t>https://www.dstgb.de/themen/finanzen/kommunalfinanzen/ver-di-und-der-dstgb-fordern-zweiten-rettungsschirm/</w:t>
        </w:r>
      </w:hyperlink>
      <w:r>
        <w:rPr>
          <w:bCs/>
          <w:color w:val="000000"/>
        </w:rPr>
        <w:t xml:space="preserve">   </w:t>
      </w:r>
    </w:p>
    <w:p w14:paraId="4AEE9EF0" w14:textId="77777777" w:rsidR="004D08E5" w:rsidRDefault="004D08E5" w:rsidP="004D08E5">
      <w:pPr>
        <w:ind w:left="1418"/>
      </w:pPr>
    </w:p>
    <w:p w14:paraId="3F542F02" w14:textId="77777777" w:rsidR="004D08E5" w:rsidRPr="00871A40" w:rsidRDefault="004D08E5" w:rsidP="004D08E5">
      <w:pPr>
        <w:ind w:left="1418"/>
        <w:rPr>
          <w:bCs/>
          <w:color w:val="000000"/>
        </w:rPr>
      </w:pPr>
      <w:r w:rsidRPr="000260B0">
        <w:t xml:space="preserve">(II/3 </w:t>
      </w:r>
      <w:r>
        <w:t>942</w:t>
      </w:r>
      <w:r w:rsidRPr="00EA53CA">
        <w:t>-00 Florian</w:t>
      </w:r>
      <w:r w:rsidRPr="000260B0">
        <w:t xml:space="preserve"> Schilling</w:t>
      </w:r>
      <w:r w:rsidRPr="007F0467">
        <w:t>,</w:t>
      </w:r>
      <w:r>
        <w:t xml:space="preserve"> 08.07.2021</w:t>
      </w:r>
      <w:r w:rsidRPr="007F0467">
        <w:t>)</w:t>
      </w:r>
    </w:p>
    <w:p w14:paraId="1B9C470E" w14:textId="77777777" w:rsidR="008E50C8" w:rsidRDefault="008E50C8" w:rsidP="008E50C8">
      <w:pPr>
        <w:ind w:left="1418"/>
      </w:pPr>
    </w:p>
    <w:p w14:paraId="555EAA11" w14:textId="77777777" w:rsidR="008E50C8" w:rsidRPr="00004857" w:rsidRDefault="008E50C8" w:rsidP="008E50C8">
      <w:pPr>
        <w:ind w:left="1418"/>
      </w:pPr>
    </w:p>
    <w:p w14:paraId="2BAF410B" w14:textId="77777777" w:rsidR="006965E8" w:rsidRPr="006965E8" w:rsidRDefault="006965E8" w:rsidP="006965E8">
      <w:pPr>
        <w:ind w:left="1418"/>
      </w:pPr>
    </w:p>
    <w:p w14:paraId="7D5F07ED" w14:textId="77777777" w:rsidR="00547626" w:rsidRPr="0028439B" w:rsidRDefault="00462B02" w:rsidP="00547626">
      <w:pPr>
        <w:jc w:val="right"/>
        <w:rPr>
          <w:b/>
          <w:sz w:val="18"/>
        </w:rPr>
      </w:pPr>
      <w:hyperlink w:anchor="_top" w:history="1">
        <w:r w:rsidR="00547626" w:rsidRPr="0028439B">
          <w:rPr>
            <w:rStyle w:val="Hyperlink"/>
            <w:b/>
            <w:color w:val="auto"/>
            <w:sz w:val="18"/>
          </w:rPr>
          <w:t>Inhaltsverzeichnis</w:t>
        </w:r>
      </w:hyperlink>
    </w:p>
    <w:p w14:paraId="41C0137F" w14:textId="77777777" w:rsidR="002927F1" w:rsidRDefault="002927F1">
      <w:pPr>
        <w:rPr>
          <w:bCs/>
        </w:rPr>
      </w:pPr>
      <w:r>
        <w:rPr>
          <w:bCs/>
        </w:rPr>
        <w:br w:type="page"/>
      </w:r>
    </w:p>
    <w:p w14:paraId="00B8C77B" w14:textId="77777777" w:rsidR="002927F1" w:rsidRPr="00D64B28" w:rsidRDefault="002927F1" w:rsidP="002927F1">
      <w:pPr>
        <w:rPr>
          <w:b/>
          <w:sz w:val="40"/>
          <w:highlight w:val="lightGray"/>
        </w:rPr>
      </w:pPr>
      <w:r>
        <w:rPr>
          <w:b/>
          <w:sz w:val="40"/>
          <w:highlight w:val="lightGray"/>
        </w:rPr>
        <w:lastRenderedPageBreak/>
        <w:t>FINANZEN UND KOMMUNALWIRTSCHAFT</w:t>
      </w:r>
    </w:p>
    <w:p w14:paraId="4BC97314" w14:textId="77777777" w:rsidR="002927F1" w:rsidRPr="00547E93" w:rsidRDefault="002927F1" w:rsidP="002927F1">
      <w:pPr>
        <w:tabs>
          <w:tab w:val="left" w:pos="1418"/>
        </w:tabs>
        <w:rPr>
          <w:b/>
          <w:sz w:val="28"/>
          <w:szCs w:val="28"/>
        </w:rPr>
      </w:pPr>
    </w:p>
    <w:p w14:paraId="0A50A55B" w14:textId="77777777" w:rsidR="00C406A3" w:rsidRPr="00C406A3" w:rsidRDefault="00C67E44" w:rsidP="00C406A3">
      <w:pPr>
        <w:pStyle w:val="2"/>
        <w:spacing w:before="0" w:after="0"/>
      </w:pPr>
      <w:bookmarkStart w:id="13" w:name="_Toc76732606"/>
      <w:r>
        <w:t>2721</w:t>
      </w:r>
      <w:r w:rsidR="002927F1" w:rsidRPr="00547E93">
        <w:t>-</w:t>
      </w:r>
      <w:r w:rsidR="00AE3FD3">
        <w:t>0</w:t>
      </w:r>
      <w:r w:rsidR="00DD014D">
        <w:t>6</w:t>
      </w:r>
      <w:r w:rsidR="002927F1" w:rsidRPr="00547E93">
        <w:tab/>
      </w:r>
      <w:r w:rsidR="00C406A3" w:rsidRPr="002B1AF8">
        <w:t>Bundesnetzagentur veröffentlicht Altersreihung zum Kohleausstieg</w:t>
      </w:r>
      <w:bookmarkEnd w:id="13"/>
    </w:p>
    <w:p w14:paraId="52E43FE4" w14:textId="77777777" w:rsidR="00C406A3" w:rsidRDefault="00C406A3" w:rsidP="00C406A3">
      <w:pPr>
        <w:rPr>
          <w:b/>
          <w:bCs/>
          <w:shd w:val="clear" w:color="auto" w:fill="FFFFFF"/>
        </w:rPr>
      </w:pPr>
    </w:p>
    <w:p w14:paraId="1973F1A3" w14:textId="77777777" w:rsidR="00C406A3" w:rsidRDefault="00C406A3" w:rsidP="00DD014D">
      <w:pPr>
        <w:ind w:left="1416"/>
        <w:jc w:val="both"/>
        <w:rPr>
          <w:b/>
          <w:bCs/>
          <w:shd w:val="clear" w:color="auto" w:fill="FFFFFF"/>
        </w:rPr>
      </w:pPr>
      <w:r w:rsidRPr="00C2028D">
        <w:rPr>
          <w:b/>
          <w:bCs/>
          <w:shd w:val="clear" w:color="auto" w:fill="FFFFFF"/>
        </w:rPr>
        <w:t xml:space="preserve">Die Bundesnetzagentur </w:t>
      </w:r>
      <w:r>
        <w:rPr>
          <w:b/>
          <w:bCs/>
          <w:shd w:val="clear" w:color="auto" w:fill="FFFFFF"/>
        </w:rPr>
        <w:t xml:space="preserve">(BNetzA) </w:t>
      </w:r>
      <w:r w:rsidRPr="00C2028D">
        <w:rPr>
          <w:b/>
          <w:bCs/>
          <w:shd w:val="clear" w:color="auto" w:fill="FFFFFF"/>
        </w:rPr>
        <w:t xml:space="preserve">hat </w:t>
      </w:r>
      <w:r>
        <w:rPr>
          <w:b/>
          <w:bCs/>
          <w:shd w:val="clear" w:color="auto" w:fill="FFFFFF"/>
        </w:rPr>
        <w:t>am 01.07.2021</w:t>
      </w:r>
      <w:r w:rsidRPr="00C2028D">
        <w:rPr>
          <w:b/>
          <w:bCs/>
          <w:shd w:val="clear" w:color="auto" w:fill="FFFFFF"/>
        </w:rPr>
        <w:t xml:space="preserve"> die Altersreihung der Steinkohleanlagen und Braunkohle-Kleinanlagen nach dem Kohleverstromungsbeendigungsgesetz veröffentlicht. Darin sind alle Anlagen, beginnend m</w:t>
      </w:r>
      <w:r>
        <w:rPr>
          <w:b/>
          <w:bCs/>
          <w:shd w:val="clear" w:color="auto" w:fill="FFFFFF"/>
        </w:rPr>
        <w:t xml:space="preserve">it der ältesten Anlage nach </w:t>
      </w:r>
      <w:r w:rsidRPr="00383756">
        <w:rPr>
          <w:b/>
        </w:rPr>
        <w:t>Inbetriebnahmedatum</w:t>
      </w:r>
      <w:r w:rsidRPr="00C2028D">
        <w:rPr>
          <w:b/>
          <w:bCs/>
          <w:shd w:val="clear" w:color="auto" w:fill="FFFFFF"/>
        </w:rPr>
        <w:t>, in chronologischer Reihenfolge aufgeführt.</w:t>
      </w:r>
      <w:r>
        <w:rPr>
          <w:b/>
          <w:bCs/>
          <w:shd w:val="clear" w:color="auto" w:fill="FFFFFF"/>
        </w:rPr>
        <w:t xml:space="preserve"> Laut BNetzA steht damit jetzt fest, </w:t>
      </w:r>
      <w:r w:rsidRPr="00C2028D">
        <w:rPr>
          <w:b/>
          <w:bCs/>
          <w:shd w:val="clear" w:color="auto" w:fill="FFFFFF"/>
        </w:rPr>
        <w:t>in welcher Reihenfolge die Kohleverstromung in den nach den Ausschreibungen verbleibenden Kraftwerken beendet werden muss</w:t>
      </w:r>
      <w:r>
        <w:rPr>
          <w:b/>
          <w:bCs/>
          <w:shd w:val="clear" w:color="auto" w:fill="FFFFFF"/>
        </w:rPr>
        <w:t>.</w:t>
      </w:r>
    </w:p>
    <w:p w14:paraId="1009AB99" w14:textId="77777777" w:rsidR="00C406A3" w:rsidRPr="00932DBB" w:rsidRDefault="00C406A3" w:rsidP="00DD014D">
      <w:pPr>
        <w:ind w:left="1416"/>
        <w:jc w:val="both"/>
        <w:rPr>
          <w:b/>
          <w:bCs/>
          <w:shd w:val="clear" w:color="auto" w:fill="FFFFFF"/>
        </w:rPr>
      </w:pPr>
    </w:p>
    <w:p w14:paraId="5E08B498" w14:textId="77777777" w:rsidR="00C406A3" w:rsidRPr="00C2028D" w:rsidRDefault="00C406A3" w:rsidP="00DD014D">
      <w:pPr>
        <w:ind w:left="1418"/>
        <w:jc w:val="both"/>
        <w:rPr>
          <w:b/>
          <w:bCs/>
          <w:shd w:val="clear" w:color="auto" w:fill="FFFFFF"/>
        </w:rPr>
      </w:pPr>
      <w:r w:rsidRPr="00C2028D">
        <w:rPr>
          <w:b/>
          <w:bCs/>
          <w:shd w:val="clear" w:color="auto" w:fill="FFFFFF"/>
        </w:rPr>
        <w:t>Gesetzliche Reduzierung</w:t>
      </w:r>
    </w:p>
    <w:p w14:paraId="0F0504E9" w14:textId="77777777" w:rsidR="00C406A3" w:rsidRDefault="00C406A3" w:rsidP="00DD014D">
      <w:pPr>
        <w:ind w:left="1418"/>
        <w:jc w:val="both"/>
        <w:rPr>
          <w:bCs/>
          <w:shd w:val="clear" w:color="auto" w:fill="FFFFFF"/>
        </w:rPr>
      </w:pPr>
      <w:r w:rsidRPr="00C2028D">
        <w:rPr>
          <w:bCs/>
          <w:shd w:val="clear" w:color="auto" w:fill="FFFFFF"/>
        </w:rPr>
        <w:t>Die Altersreihung bildet einen Eckpfeiler für den Kohleausstieg bis Ende 2038. Sie greift zunächst nachrangig, wenn es ab 2022 in den Ausschreibungen zu einer Unterzeichnung kommt, für das verbleibende Ausschreibungsvolumen.</w:t>
      </w:r>
      <w:r w:rsidR="00DD014D">
        <w:rPr>
          <w:bCs/>
          <w:shd w:val="clear" w:color="auto" w:fill="FFFFFF"/>
        </w:rPr>
        <w:t xml:space="preserve"> </w:t>
      </w:r>
      <w:r w:rsidRPr="00C2028D">
        <w:rPr>
          <w:bCs/>
          <w:shd w:val="clear" w:color="auto" w:fill="FFFFFF"/>
        </w:rPr>
        <w:t>Im Anschluss an die letzte Ausschreibungsrunde für das Zieldatum 2026 erfolgt die Beendigung der Kohleverstromung nur noch im Rahmen der gesetzlichen Reduzierung. Die Bundesnetzagentur legt dann anhand der Altersreihung fest, welche Steinkohleanlagen und Braunkohle-Kleinanlagen zum jeweiligen Zieldatum keine Kohle mehr verfeuern dürfen. Die Betreiber erhalten für die Beendigung der Kohleverfeuerung im Rahmen der gesetzlichen Reduzierung keine Entschädigung.</w:t>
      </w:r>
    </w:p>
    <w:p w14:paraId="4E9A2261" w14:textId="77777777" w:rsidR="00DD014D" w:rsidRPr="00C2028D" w:rsidRDefault="00DD014D" w:rsidP="00DD014D">
      <w:pPr>
        <w:ind w:left="1418"/>
        <w:jc w:val="both"/>
        <w:rPr>
          <w:bCs/>
          <w:shd w:val="clear" w:color="auto" w:fill="FFFFFF"/>
        </w:rPr>
      </w:pPr>
    </w:p>
    <w:p w14:paraId="0A25C4E0" w14:textId="77777777" w:rsidR="00C406A3" w:rsidRDefault="00C406A3" w:rsidP="00DD014D">
      <w:pPr>
        <w:ind w:left="1418"/>
        <w:jc w:val="both"/>
        <w:rPr>
          <w:bCs/>
          <w:shd w:val="clear" w:color="auto" w:fill="FFFFFF"/>
        </w:rPr>
      </w:pPr>
      <w:r w:rsidRPr="00C2028D">
        <w:rPr>
          <w:bCs/>
          <w:shd w:val="clear" w:color="auto" w:fill="FFFFFF"/>
        </w:rPr>
        <w:t>Die Altersreihung basiert auf dem Gedanken, dass eine Anlage umso früher keine Kohle mehr verfeuern darf, je älter sie ist. Hierdurch wird den Klimazielen und dem Umweltschutz Rechnung getragen, da das Alter einer Anlage ein Indikator für die Emissionsbelastung ist. Zwischenzeitlich getätigte Investitionen in die Anlage („Retrofits“) sind berücksichtigt worden.</w:t>
      </w:r>
    </w:p>
    <w:p w14:paraId="65FE6C7C" w14:textId="77777777" w:rsidR="00C406A3" w:rsidRPr="00C2028D" w:rsidRDefault="00C406A3" w:rsidP="00DD014D">
      <w:pPr>
        <w:ind w:left="1418"/>
        <w:jc w:val="both"/>
        <w:rPr>
          <w:bCs/>
          <w:shd w:val="clear" w:color="auto" w:fill="FFFFFF"/>
        </w:rPr>
      </w:pPr>
    </w:p>
    <w:p w14:paraId="6C94CA34" w14:textId="77777777" w:rsidR="00C406A3" w:rsidRPr="00C2028D" w:rsidRDefault="00C406A3" w:rsidP="00DD014D">
      <w:pPr>
        <w:ind w:left="1418"/>
        <w:jc w:val="both"/>
        <w:rPr>
          <w:b/>
          <w:bCs/>
          <w:shd w:val="clear" w:color="auto" w:fill="FFFFFF"/>
        </w:rPr>
      </w:pPr>
      <w:r w:rsidRPr="00C2028D">
        <w:rPr>
          <w:b/>
          <w:bCs/>
          <w:shd w:val="clear" w:color="auto" w:fill="FFFFFF"/>
        </w:rPr>
        <w:t>Aktualisierung</w:t>
      </w:r>
    </w:p>
    <w:p w14:paraId="231E2215" w14:textId="77777777" w:rsidR="00DD014D" w:rsidRDefault="00C406A3" w:rsidP="00DD014D">
      <w:pPr>
        <w:ind w:left="1418"/>
        <w:jc w:val="both"/>
        <w:rPr>
          <w:bCs/>
          <w:shd w:val="clear" w:color="auto" w:fill="FFFFFF"/>
        </w:rPr>
      </w:pPr>
      <w:r w:rsidRPr="00C2028D">
        <w:rPr>
          <w:bCs/>
          <w:shd w:val="clear" w:color="auto" w:fill="FFFFFF"/>
        </w:rPr>
        <w:t>In der Altersreihung sind zusätzlich die Anlagen gekennzeichnet, deren Marktaustritt verbindlich vorgesehen oder bereits erfolgt ist. Diese Kennzeichnung ist für die Anlagenbetreiber wichtig, da Anlagen, die nicht mehr als aktiv am Markt einzustufen sind, von der gesetzlichen Reduzierung nicht mehr betroffen sind. Hiervon umfasst sind unter anderem Anlagen, die einen Zuschlag in der Ausschreibung erhalten haben. Ebenfalls gekennzeichnet sind Anlagen, für die das Verbot der Kohleverfeuerung gesetzlich angeordnet wird oder die aus sonstigen Gründen stillgelegt werden. Die Kennzeichnung, der nicht mehr als aktiv einzustufenden Anlagen, wird regelmäßig aktualisiert.</w:t>
      </w:r>
    </w:p>
    <w:p w14:paraId="560E3667" w14:textId="77777777" w:rsidR="00C406A3" w:rsidRDefault="00C406A3" w:rsidP="00DD014D">
      <w:pPr>
        <w:ind w:left="1418"/>
        <w:jc w:val="both"/>
        <w:rPr>
          <w:bCs/>
          <w:shd w:val="clear" w:color="auto" w:fill="FFFFFF"/>
        </w:rPr>
      </w:pPr>
      <w:r w:rsidRPr="00C2028D">
        <w:rPr>
          <w:bCs/>
          <w:shd w:val="clear" w:color="auto" w:fill="FFFFFF"/>
        </w:rPr>
        <w:t xml:space="preserve"> </w:t>
      </w:r>
      <w:r w:rsidRPr="00C2028D">
        <w:rPr>
          <w:bCs/>
          <w:shd w:val="clear" w:color="auto" w:fill="FFFFFF"/>
        </w:rPr>
        <w:br/>
        <w:t xml:space="preserve">Die Altersreihung sowie weitergehende Informationen sind unter </w:t>
      </w:r>
      <w:hyperlink r:id="rId14" w:tgtFrame="_blank" w:tooltip="Altersreihung (Öffnet neues Fenster)" w:history="1">
        <w:r w:rsidRPr="00C2028D">
          <w:rPr>
            <w:rStyle w:val="Hyperlink"/>
            <w:bCs/>
            <w:shd w:val="clear" w:color="auto" w:fill="FFFFFF"/>
          </w:rPr>
          <w:t>www.bundesnetzagentur.de/Altersreihung</w:t>
        </w:r>
      </w:hyperlink>
      <w:r w:rsidRPr="00C2028D">
        <w:rPr>
          <w:bCs/>
          <w:shd w:val="clear" w:color="auto" w:fill="FFFFFF"/>
        </w:rPr>
        <w:t xml:space="preserve"> abrufbar.</w:t>
      </w:r>
    </w:p>
    <w:p w14:paraId="7A49DEC9" w14:textId="77777777" w:rsidR="00C406A3" w:rsidRDefault="00C406A3" w:rsidP="00C406A3">
      <w:pPr>
        <w:ind w:left="1418"/>
        <w:rPr>
          <w:bCs/>
          <w:shd w:val="clear" w:color="auto" w:fill="FFFFFF"/>
        </w:rPr>
      </w:pPr>
    </w:p>
    <w:p w14:paraId="7EF4CF42" w14:textId="77777777" w:rsidR="00C406A3" w:rsidRDefault="00C406A3" w:rsidP="00C406A3">
      <w:pPr>
        <w:ind w:left="1418"/>
        <w:rPr>
          <w:bCs/>
          <w:shd w:val="clear" w:color="auto" w:fill="FFFFFF"/>
        </w:rPr>
      </w:pPr>
    </w:p>
    <w:p w14:paraId="10C01C21" w14:textId="77777777" w:rsidR="00C406A3" w:rsidRPr="00C2028D" w:rsidRDefault="00C406A3" w:rsidP="00C406A3">
      <w:pPr>
        <w:ind w:left="1418"/>
        <w:rPr>
          <w:b/>
          <w:bCs/>
          <w:shd w:val="clear" w:color="auto" w:fill="FFFFFF"/>
        </w:rPr>
      </w:pPr>
      <w:r w:rsidRPr="00C2028D">
        <w:rPr>
          <w:b/>
          <w:bCs/>
          <w:shd w:val="clear" w:color="auto" w:fill="FFFFFF"/>
        </w:rPr>
        <w:lastRenderedPageBreak/>
        <w:t>Hintergrund</w:t>
      </w:r>
    </w:p>
    <w:p w14:paraId="3503C8EC" w14:textId="4142F023" w:rsidR="00DD014D" w:rsidRDefault="00C406A3" w:rsidP="00DD014D">
      <w:pPr>
        <w:ind w:left="1418"/>
        <w:jc w:val="both"/>
        <w:rPr>
          <w:bCs/>
          <w:shd w:val="clear" w:color="auto" w:fill="FFFFFF"/>
        </w:rPr>
      </w:pPr>
      <w:r w:rsidRPr="00C2028D">
        <w:rPr>
          <w:bCs/>
          <w:shd w:val="clear" w:color="auto" w:fill="FFFFFF"/>
        </w:rPr>
        <w:t>Spätestens 2038 soll in Deutschland auch das letzte Kohlekraftwerk nicht mehr zur Stromerzeugung am Strommarkt eingesetzt werden. Der Kohleausstieg ist nicht nur ein Meilenstein in der Energiewende, er wird auch den CO2-Ausstoß erheblich reduzieren. Das bedeutet: Bis Ende des Jahres 2022 wird der Anteil der Kohleverstromung aus Steinkohle- und Braunkohleanlagen auf jeweils rund 15 Gigawatt ve</w:t>
      </w:r>
      <w:r w:rsidR="004725CE">
        <w:rPr>
          <w:bCs/>
          <w:shd w:val="clear" w:color="auto" w:fill="FFFFFF"/>
        </w:rPr>
        <w:t xml:space="preserve">rbleibende Leistung reduziert. </w:t>
      </w:r>
    </w:p>
    <w:p w14:paraId="6D3FE2A5" w14:textId="77777777" w:rsidR="00C406A3" w:rsidRPr="00C2028D" w:rsidRDefault="00C406A3" w:rsidP="00DD014D">
      <w:pPr>
        <w:ind w:left="1418"/>
        <w:jc w:val="both"/>
        <w:rPr>
          <w:bCs/>
          <w:shd w:val="clear" w:color="auto" w:fill="FFFFFF"/>
        </w:rPr>
      </w:pPr>
      <w:r w:rsidRPr="00C2028D">
        <w:rPr>
          <w:bCs/>
          <w:shd w:val="clear" w:color="auto" w:fill="FFFFFF"/>
        </w:rPr>
        <w:t>Bis Ende 2030 sind weitere Reduktionen auf eine Leistung von rund acht Gigawatt bei den Steinkohleanlagen und neun Gigawatt bei den Braunkohleanlagen vorgesehen.</w:t>
      </w:r>
    </w:p>
    <w:p w14:paraId="46E6B6C6" w14:textId="77777777" w:rsidR="00C406A3" w:rsidRDefault="00C406A3" w:rsidP="00C406A3">
      <w:pPr>
        <w:ind w:left="1418"/>
        <w:rPr>
          <w:bCs/>
          <w:shd w:val="clear" w:color="auto" w:fill="FFFFFF"/>
        </w:rPr>
      </w:pPr>
    </w:p>
    <w:p w14:paraId="1BFE93E3" w14:textId="77777777" w:rsidR="00C406A3" w:rsidRDefault="00C406A3" w:rsidP="00C406A3">
      <w:pPr>
        <w:ind w:left="1418"/>
        <w:rPr>
          <w:bCs/>
          <w:shd w:val="clear" w:color="auto" w:fill="FFFFFF"/>
        </w:rPr>
      </w:pPr>
      <w:r>
        <w:rPr>
          <w:bCs/>
          <w:shd w:val="clear" w:color="auto" w:fill="FFFFFF"/>
        </w:rPr>
        <w:t>Quelle:</w:t>
      </w:r>
      <w:hyperlink r:id="rId15" w:history="1">
        <w:r w:rsidRPr="007617C7">
          <w:rPr>
            <w:rStyle w:val="Hyperlink"/>
            <w:bCs/>
            <w:shd w:val="clear" w:color="auto" w:fill="FFFFFF"/>
          </w:rPr>
          <w:t>https://www.bundesnetzagentur.de/SharedDocs/Pressemitteilungen/DE/2021/20210701_Altersreihungkohle.html?nn=265778</w:t>
        </w:r>
      </w:hyperlink>
    </w:p>
    <w:p w14:paraId="107C29A9" w14:textId="77777777" w:rsidR="00C406A3" w:rsidRDefault="00C406A3" w:rsidP="00C406A3">
      <w:pPr>
        <w:ind w:left="1418"/>
        <w:rPr>
          <w:bCs/>
          <w:shd w:val="clear" w:color="auto" w:fill="FFFFFF"/>
        </w:rPr>
      </w:pPr>
    </w:p>
    <w:p w14:paraId="0656E2BC" w14:textId="77777777" w:rsidR="00C406A3" w:rsidRPr="0065135D" w:rsidRDefault="00C406A3" w:rsidP="00C406A3">
      <w:pPr>
        <w:rPr>
          <w:bCs/>
          <w:shd w:val="clear" w:color="auto" w:fill="FFFFFF"/>
        </w:rPr>
      </w:pPr>
    </w:p>
    <w:p w14:paraId="4E44EB76" w14:textId="77777777" w:rsidR="00C406A3" w:rsidRDefault="00C406A3" w:rsidP="00C406A3">
      <w:pPr>
        <w:ind w:left="708" w:firstLine="708"/>
      </w:pPr>
      <w:r>
        <w:t>(</w:t>
      </w:r>
      <w:r w:rsidRPr="00383756">
        <w:t>IV/3 902-20, Finn Brüning, 09.07.2021)</w:t>
      </w:r>
    </w:p>
    <w:p w14:paraId="4509EB4E" w14:textId="77777777" w:rsidR="008E50C8" w:rsidRDefault="008E50C8" w:rsidP="008E50C8">
      <w:pPr>
        <w:ind w:left="1418"/>
      </w:pPr>
    </w:p>
    <w:p w14:paraId="2894D638" w14:textId="77777777" w:rsidR="008E50C8" w:rsidRPr="00004857" w:rsidRDefault="008E50C8" w:rsidP="008E50C8">
      <w:pPr>
        <w:ind w:left="1418"/>
      </w:pPr>
    </w:p>
    <w:p w14:paraId="70EAF5BC" w14:textId="77777777" w:rsidR="002927F1" w:rsidRPr="0028439B" w:rsidRDefault="00462B02" w:rsidP="002927F1">
      <w:pPr>
        <w:jc w:val="right"/>
        <w:rPr>
          <w:b/>
          <w:sz w:val="18"/>
        </w:rPr>
      </w:pPr>
      <w:hyperlink w:anchor="_top" w:history="1">
        <w:r w:rsidR="002927F1" w:rsidRPr="0028439B">
          <w:rPr>
            <w:rStyle w:val="Hyperlink"/>
            <w:b/>
            <w:color w:val="auto"/>
            <w:sz w:val="18"/>
          </w:rPr>
          <w:t>Inhaltsverzeichnis</w:t>
        </w:r>
      </w:hyperlink>
    </w:p>
    <w:p w14:paraId="00E233DF" w14:textId="77777777" w:rsidR="004D08E5" w:rsidRPr="00D64B28" w:rsidRDefault="00547626" w:rsidP="004D08E5">
      <w:pPr>
        <w:rPr>
          <w:b/>
          <w:sz w:val="40"/>
          <w:highlight w:val="lightGray"/>
        </w:rPr>
      </w:pPr>
      <w:r w:rsidRPr="00547E93">
        <w:rPr>
          <w:bCs/>
        </w:rPr>
        <w:br w:type="page"/>
      </w:r>
      <w:r w:rsidR="004D08E5">
        <w:rPr>
          <w:b/>
          <w:sz w:val="40"/>
          <w:highlight w:val="lightGray"/>
        </w:rPr>
        <w:lastRenderedPageBreak/>
        <w:t>FINANZEN UND KOMMUNALWIRTSCHAFT</w:t>
      </w:r>
    </w:p>
    <w:p w14:paraId="00ECAE2F" w14:textId="77777777" w:rsidR="004D08E5" w:rsidRPr="00547E93" w:rsidRDefault="004D08E5" w:rsidP="004D08E5">
      <w:pPr>
        <w:tabs>
          <w:tab w:val="left" w:pos="1418"/>
        </w:tabs>
        <w:rPr>
          <w:b/>
          <w:sz w:val="28"/>
          <w:szCs w:val="28"/>
        </w:rPr>
      </w:pPr>
    </w:p>
    <w:p w14:paraId="12E2EF16" w14:textId="400358F7" w:rsidR="00C406A3" w:rsidRPr="00C406A3" w:rsidRDefault="004D08E5" w:rsidP="00C406A3">
      <w:pPr>
        <w:pStyle w:val="2"/>
        <w:spacing w:before="0" w:after="0"/>
      </w:pPr>
      <w:bookmarkStart w:id="14" w:name="_Toc76732607"/>
      <w:r>
        <w:t>2721</w:t>
      </w:r>
      <w:r w:rsidRPr="00547E93">
        <w:t>-</w:t>
      </w:r>
      <w:r>
        <w:t>0</w:t>
      </w:r>
      <w:r w:rsidR="00DD014D">
        <w:t>7</w:t>
      </w:r>
      <w:r w:rsidRPr="00547E93">
        <w:tab/>
      </w:r>
      <w:r w:rsidR="00C406A3" w:rsidRPr="000C31B7">
        <w:t>Europäische Unternehmensförderpreise 2021: Deutsche Gewinnerprojekte ausgewählt</w:t>
      </w:r>
      <w:bookmarkEnd w:id="14"/>
    </w:p>
    <w:p w14:paraId="26FACBD6" w14:textId="77777777" w:rsidR="00C406A3" w:rsidRPr="006D6504" w:rsidRDefault="00C406A3" w:rsidP="00C406A3">
      <w:pPr>
        <w:ind w:left="1418" w:hanging="1418"/>
        <w:rPr>
          <w:b/>
          <w:bCs/>
          <w:shd w:val="clear" w:color="auto" w:fill="FFFFFF"/>
        </w:rPr>
      </w:pPr>
    </w:p>
    <w:p w14:paraId="7E6A9BB4" w14:textId="5B78C4EF" w:rsidR="00C406A3" w:rsidRDefault="00C406A3" w:rsidP="00DD014D">
      <w:pPr>
        <w:ind w:left="1418" w:hanging="2"/>
        <w:jc w:val="both"/>
        <w:rPr>
          <w:b/>
          <w:bCs/>
          <w:iCs/>
          <w:shd w:val="clear" w:color="auto" w:fill="FFFFFF"/>
        </w:rPr>
      </w:pPr>
      <w:r>
        <w:rPr>
          <w:b/>
          <w:bCs/>
          <w:iCs/>
          <w:shd w:val="clear" w:color="auto" w:fill="FFFFFF"/>
        </w:rPr>
        <w:t>D</w:t>
      </w:r>
      <w:r w:rsidRPr="000C31B7">
        <w:rPr>
          <w:b/>
          <w:bCs/>
          <w:iCs/>
          <w:shd w:val="clear" w:color="auto" w:fill="FFFFFF"/>
        </w:rPr>
        <w:t>ie zwei überzeugendsten Projekte des deutschen Vorentscheids zu den diesjährigen Europäischen Unternehmensförderpreisen (European Enterprise Promotion Awards / EEPA) stehen fest: das COMPETENZentrum für Selbständige aus Berlin und NEXT MANNHEIM.</w:t>
      </w:r>
      <w:r>
        <w:rPr>
          <w:b/>
          <w:bCs/>
          <w:iCs/>
          <w:shd w:val="clear" w:color="auto" w:fill="FFFFFF"/>
        </w:rPr>
        <w:t xml:space="preserve"> Der DStGB hat sich im Rahmen der Beratungen ebenfalls für beide Gewinnerprojekte stark</w:t>
      </w:r>
      <w:r w:rsidR="004725CE">
        <w:rPr>
          <w:b/>
          <w:bCs/>
          <w:iCs/>
          <w:shd w:val="clear" w:color="auto" w:fill="FFFFFF"/>
        </w:rPr>
        <w:t xml:space="preserve"> </w:t>
      </w:r>
      <w:r>
        <w:rPr>
          <w:b/>
          <w:bCs/>
          <w:iCs/>
          <w:shd w:val="clear" w:color="auto" w:fill="FFFFFF"/>
        </w:rPr>
        <w:t xml:space="preserve">gemacht. </w:t>
      </w:r>
      <w:r w:rsidRPr="00AD1FCB">
        <w:rPr>
          <w:b/>
          <w:bCs/>
          <w:iCs/>
          <w:shd w:val="clear" w:color="auto" w:fill="FFFFFF"/>
        </w:rPr>
        <w:t>Das Projekt NEXT MANNHEIM bietet einen interessanten Ansatz für Kommunen, indem es den Aufbau eines lokalen Startup-Ökosystems mit der kulturellen Stadtentwicklung verknüpft und durch diese einzigartige Kombination viele neue Arbeitsplätze schaffen kann.</w:t>
      </w:r>
    </w:p>
    <w:p w14:paraId="5AE45178" w14:textId="77777777" w:rsidR="00C406A3" w:rsidRPr="006D6504" w:rsidRDefault="00C406A3" w:rsidP="00DD014D">
      <w:pPr>
        <w:ind w:left="1418" w:hanging="2"/>
        <w:jc w:val="both"/>
        <w:rPr>
          <w:b/>
          <w:bCs/>
          <w:i/>
          <w:iCs/>
          <w:shd w:val="clear" w:color="auto" w:fill="FFFFFF"/>
        </w:rPr>
      </w:pPr>
    </w:p>
    <w:p w14:paraId="0416619B" w14:textId="77777777" w:rsidR="00C406A3" w:rsidRPr="000C31B7" w:rsidRDefault="00C406A3" w:rsidP="00DD014D">
      <w:pPr>
        <w:ind w:left="1418" w:hanging="2"/>
        <w:jc w:val="both"/>
        <w:rPr>
          <w:bCs/>
          <w:shd w:val="clear" w:color="auto" w:fill="FFFFFF"/>
        </w:rPr>
      </w:pPr>
      <w:r w:rsidRPr="000C31B7">
        <w:rPr>
          <w:bCs/>
          <w:shd w:val="clear" w:color="auto" w:fill="FFFFFF"/>
        </w:rPr>
        <w:t>Die 18 Bewerbungen, die das RKW Kompetenzzentrum, das den deutschen Vorentscheid des EU-Wettbewerbs durchführt, bis zum Ende der Bewerbungsphase erhalten hatte, zeigten eine große Vielfalt an erfolgreichen und innovativen Unterstützungsmaßnahmen. In mehreren Auswahlrunden kürte die nationale Jury die zwei am besten geeigneten Initiativen für den EU-Wettbewerb:</w:t>
      </w:r>
    </w:p>
    <w:p w14:paraId="69AB3832" w14:textId="77777777" w:rsidR="00C406A3" w:rsidRPr="000C31B7" w:rsidRDefault="00C406A3" w:rsidP="00DD014D">
      <w:pPr>
        <w:ind w:left="1418" w:hanging="2"/>
        <w:jc w:val="both"/>
        <w:rPr>
          <w:bCs/>
          <w:shd w:val="clear" w:color="auto" w:fill="FFFFFF"/>
        </w:rPr>
      </w:pPr>
    </w:p>
    <w:p w14:paraId="6897BB8A" w14:textId="77777777" w:rsidR="00C406A3" w:rsidRPr="000C31B7" w:rsidRDefault="00C406A3" w:rsidP="00DD014D">
      <w:pPr>
        <w:ind w:left="1418" w:hanging="2"/>
        <w:jc w:val="both"/>
        <w:rPr>
          <w:bCs/>
          <w:shd w:val="clear" w:color="auto" w:fill="FFFFFF"/>
        </w:rPr>
      </w:pPr>
      <w:r w:rsidRPr="000C31B7">
        <w:rPr>
          <w:bCs/>
          <w:shd w:val="clear" w:color="auto" w:fill="FFFFFF"/>
        </w:rPr>
        <w:t>Das vom gemeinnützigen Verein "Initiative Selbständiger Immigrantinnen" (ISI) getragene Projekt „COMPETENZentrum für Selbständige“ qualifiziert und begleitet Frauen mit Migrationserfahrung in Berlin für die berufliche Selbständigkeit. Durch kostenlose Weiterbildungsangebote werden gründungswillige und bereits selbständige Frauen internationaler Herkunft dazu befähigt, ihre Businessideen in die Tat umzusetzen und nachhaltig aufzubauen.</w:t>
      </w:r>
    </w:p>
    <w:p w14:paraId="2002941F" w14:textId="77777777" w:rsidR="00C406A3" w:rsidRPr="000C31B7" w:rsidRDefault="00C406A3" w:rsidP="00DD014D">
      <w:pPr>
        <w:ind w:left="1418" w:hanging="2"/>
        <w:jc w:val="both"/>
        <w:rPr>
          <w:bCs/>
          <w:shd w:val="clear" w:color="auto" w:fill="FFFFFF"/>
        </w:rPr>
      </w:pPr>
    </w:p>
    <w:p w14:paraId="1DF92DD3" w14:textId="77777777" w:rsidR="00C406A3" w:rsidRPr="000C31B7" w:rsidRDefault="00C406A3" w:rsidP="00DD014D">
      <w:pPr>
        <w:ind w:left="1418" w:hanging="2"/>
        <w:jc w:val="both"/>
        <w:rPr>
          <w:bCs/>
          <w:shd w:val="clear" w:color="auto" w:fill="FFFFFF"/>
        </w:rPr>
      </w:pPr>
      <w:r w:rsidRPr="000C31B7">
        <w:rPr>
          <w:bCs/>
          <w:shd w:val="clear" w:color="auto" w:fill="FFFFFF"/>
        </w:rPr>
        <w:t>NEXT MANNHEIM ist ein in Deutschland einzigartiges, interdisziplinäres und international ausgerichtetes Start-up-Ökosystem mit dem Fokus auf den Bereichen kulturelle Stadtentwicklung, Kreativwirtschaft, Medizintechnologie und Female Entrepreneurship. Es verbindet eine Community mit über 300 Start-ups in acht Gründungszentren in der Region Mannheim, für die eine innovative Herangehensweise an die Herausforderungen des digitalen wirtschaftlichen Wandels, urbaner Strukturen und neuer Arbeitswelten im Vordergrund steht.</w:t>
      </w:r>
    </w:p>
    <w:p w14:paraId="7B5FB2D8" w14:textId="77777777" w:rsidR="00C406A3" w:rsidRPr="000C31B7" w:rsidRDefault="00C406A3" w:rsidP="00C406A3">
      <w:pPr>
        <w:ind w:left="1418" w:hanging="2"/>
        <w:rPr>
          <w:bCs/>
          <w:shd w:val="clear" w:color="auto" w:fill="FFFFFF"/>
        </w:rPr>
      </w:pPr>
    </w:p>
    <w:p w14:paraId="215CF557" w14:textId="77777777" w:rsidR="00C406A3" w:rsidRDefault="00C406A3" w:rsidP="00DD014D">
      <w:pPr>
        <w:ind w:left="1418" w:hanging="2"/>
        <w:jc w:val="both"/>
        <w:rPr>
          <w:bCs/>
          <w:shd w:val="clear" w:color="auto" w:fill="FFFFFF"/>
        </w:rPr>
      </w:pPr>
      <w:r w:rsidRPr="000C31B7">
        <w:rPr>
          <w:bCs/>
          <w:shd w:val="clear" w:color="auto" w:fill="FFFFFF"/>
        </w:rPr>
        <w:t>Das COMPETENZentrum für Selbständige und NEXT MANNHEIM werden nun im Finale der Europäischen Unternehmensförderpreise 2021 für Deutschland antreten.</w:t>
      </w:r>
    </w:p>
    <w:p w14:paraId="063CE19A" w14:textId="77777777" w:rsidR="00C406A3" w:rsidRPr="006D6504" w:rsidRDefault="00C406A3" w:rsidP="00DD014D">
      <w:pPr>
        <w:ind w:left="1418" w:hanging="2"/>
        <w:jc w:val="both"/>
        <w:rPr>
          <w:bCs/>
          <w:shd w:val="clear" w:color="auto" w:fill="FFFFFF"/>
        </w:rPr>
      </w:pPr>
    </w:p>
    <w:p w14:paraId="68A78000" w14:textId="77777777" w:rsidR="00C406A3" w:rsidRPr="006D6504" w:rsidRDefault="00C406A3" w:rsidP="00C406A3">
      <w:pPr>
        <w:ind w:left="1418" w:hanging="2"/>
        <w:rPr>
          <w:bCs/>
          <w:shd w:val="clear" w:color="auto" w:fill="FFFFFF"/>
        </w:rPr>
      </w:pPr>
      <w:r w:rsidRPr="006D6504">
        <w:rPr>
          <w:bCs/>
          <w:shd w:val="clear" w:color="auto" w:fill="FFFFFF"/>
        </w:rPr>
        <w:t>Weitere Informationen zum Wettbewerb unte</w:t>
      </w:r>
      <w:r>
        <w:rPr>
          <w:bCs/>
          <w:shd w:val="clear" w:color="auto" w:fill="FFFFFF"/>
        </w:rPr>
        <w:t>r:</w:t>
      </w:r>
    </w:p>
    <w:p w14:paraId="7CE65C88" w14:textId="77777777" w:rsidR="00C406A3" w:rsidRPr="008461E3" w:rsidRDefault="00462B02" w:rsidP="00C406A3">
      <w:pPr>
        <w:ind w:left="1418" w:hanging="2"/>
        <w:rPr>
          <w:b/>
          <w:bCs/>
          <w:shd w:val="clear" w:color="auto" w:fill="FFFFFF"/>
        </w:rPr>
      </w:pPr>
      <w:hyperlink r:id="rId16" w:history="1">
        <w:r w:rsidR="00C406A3" w:rsidRPr="006D6504">
          <w:rPr>
            <w:rStyle w:val="Hyperlink"/>
            <w:bCs/>
            <w:shd w:val="clear" w:color="auto" w:fill="FFFFFF"/>
          </w:rPr>
          <w:t>https://www.rkw-kompetenzzentrum.de/gruendung/gruendungskultur/europaeischer-unternehmensfoerderpreis/</w:t>
        </w:r>
      </w:hyperlink>
    </w:p>
    <w:p w14:paraId="2C78DA20" w14:textId="77777777" w:rsidR="00C406A3" w:rsidRDefault="00C406A3" w:rsidP="00C406A3">
      <w:pPr>
        <w:ind w:left="1418"/>
      </w:pPr>
    </w:p>
    <w:p w14:paraId="3354B5E6" w14:textId="77777777" w:rsidR="00C406A3" w:rsidRDefault="00C406A3" w:rsidP="00C406A3">
      <w:pPr>
        <w:ind w:left="1418"/>
      </w:pPr>
      <w:r>
        <w:t>(IV/3 Az. 760-10, Finn Brüning, 09.07.2021)</w:t>
      </w:r>
    </w:p>
    <w:p w14:paraId="53D2FBD7" w14:textId="16E42C36" w:rsidR="004D08E5" w:rsidRDefault="00462B02" w:rsidP="004D08E5">
      <w:pPr>
        <w:jc w:val="right"/>
        <w:rPr>
          <w:rStyle w:val="Hyperlink"/>
          <w:b/>
          <w:color w:val="auto"/>
          <w:sz w:val="18"/>
        </w:rPr>
      </w:pPr>
      <w:hyperlink w:anchor="_top" w:history="1">
        <w:r w:rsidR="004D08E5" w:rsidRPr="0028439B">
          <w:rPr>
            <w:rStyle w:val="Hyperlink"/>
            <w:b/>
            <w:color w:val="auto"/>
            <w:sz w:val="18"/>
          </w:rPr>
          <w:t>Inhaltsverzeichnis</w:t>
        </w:r>
      </w:hyperlink>
    </w:p>
    <w:p w14:paraId="4515A6AD" w14:textId="77777777" w:rsidR="00C1195D" w:rsidRDefault="00C1195D" w:rsidP="00C1195D">
      <w:pPr>
        <w:pStyle w:val="berschrift1"/>
        <w:rPr>
          <w:b/>
        </w:rPr>
      </w:pPr>
      <w:bookmarkStart w:id="15" w:name="_Toc502842257"/>
      <w:bookmarkStart w:id="16" w:name="_Toc23835955"/>
      <w:bookmarkStart w:id="17" w:name="_Toc76732608"/>
      <w:r>
        <w:rPr>
          <w:b/>
        </w:rPr>
        <w:lastRenderedPageBreak/>
        <w:t>STÄDTEBAU, VERGABE UND UMWELT</w:t>
      </w:r>
      <w:bookmarkEnd w:id="15"/>
      <w:bookmarkEnd w:id="16"/>
      <w:bookmarkEnd w:id="17"/>
      <w:r>
        <w:rPr>
          <w:b/>
        </w:rPr>
        <w:t xml:space="preserve"> </w:t>
      </w:r>
    </w:p>
    <w:p w14:paraId="6AA80852" w14:textId="77777777" w:rsidR="00C1195D" w:rsidRDefault="00C1195D" w:rsidP="00C1195D">
      <w:pPr>
        <w:tabs>
          <w:tab w:val="left" w:pos="1418"/>
        </w:tabs>
        <w:rPr>
          <w:b/>
          <w:sz w:val="28"/>
          <w:szCs w:val="28"/>
        </w:rPr>
      </w:pPr>
    </w:p>
    <w:p w14:paraId="1AAD9EA3" w14:textId="7D79FE5D" w:rsidR="00C1195D" w:rsidRPr="00C1195D" w:rsidRDefault="00C1195D" w:rsidP="00C1195D">
      <w:pPr>
        <w:pStyle w:val="2"/>
        <w:spacing w:before="0" w:after="0"/>
      </w:pPr>
      <w:bookmarkStart w:id="18" w:name="_Toc23835956"/>
      <w:bookmarkStart w:id="19" w:name="_Toc76732609"/>
      <w:r>
        <w:t>0921-0</w:t>
      </w:r>
      <w:r w:rsidR="0088289E">
        <w:t>8</w:t>
      </w:r>
      <w:r>
        <w:tab/>
      </w:r>
      <w:bookmarkEnd w:id="18"/>
      <w:r w:rsidRPr="00DE3124">
        <w:rPr>
          <w:rFonts w:cs="Arial"/>
        </w:rPr>
        <w:t xml:space="preserve">EuGH: Bei </w:t>
      </w:r>
      <w:r>
        <w:rPr>
          <w:rFonts w:cs="Arial"/>
        </w:rPr>
        <w:t xml:space="preserve">der </w:t>
      </w:r>
      <w:r w:rsidRPr="00DE3124">
        <w:rPr>
          <w:rFonts w:cs="Arial"/>
        </w:rPr>
        <w:t>Vergabe von Rahmenvereinbarungen m</w:t>
      </w:r>
      <w:r>
        <w:rPr>
          <w:rFonts w:cs="Arial"/>
        </w:rPr>
        <w:t xml:space="preserve">üssen Auftraggeber eine </w:t>
      </w:r>
      <w:r w:rsidRPr="00DE3124">
        <w:rPr>
          <w:rFonts w:cs="Arial"/>
        </w:rPr>
        <w:t>Höchstmenge angeben</w:t>
      </w:r>
      <w:bookmarkEnd w:id="19"/>
      <w:r w:rsidRPr="00DE3124">
        <w:rPr>
          <w:rFonts w:cs="Arial"/>
        </w:rPr>
        <w:t xml:space="preserve"> </w:t>
      </w:r>
    </w:p>
    <w:p w14:paraId="11AB8E90" w14:textId="77777777" w:rsidR="00C1195D" w:rsidRPr="00DE3124" w:rsidRDefault="00C1195D" w:rsidP="00C1195D">
      <w:pPr>
        <w:ind w:left="1418"/>
        <w:rPr>
          <w:b/>
        </w:rPr>
      </w:pPr>
    </w:p>
    <w:p w14:paraId="7D88D864" w14:textId="77777777" w:rsidR="00C1195D" w:rsidRPr="00DE3124" w:rsidRDefault="00C1195D" w:rsidP="00C1195D">
      <w:pPr>
        <w:ind w:left="1418"/>
        <w:jc w:val="both"/>
        <w:rPr>
          <w:b/>
        </w:rPr>
      </w:pPr>
      <w:r w:rsidRPr="00DE3124">
        <w:rPr>
          <w:b/>
        </w:rPr>
        <w:t>Mit Urteil vom 17. Juni 2021 (Rs.C-23/20) hat der Europäische Gerichtshof (EuGH) entschieden, dass bei der Vergabe von Rahmenvereinbarungen in der Auftragsbekanntmachung oder in Vergabeunterlagen eine Höchstgrenze der nach der Rahmenvereinbarung zu liefernden Waren anzugeben ist. Ist diese Höchstgrenze ausgeschöpft, verliert die Rahmenvereinbarung nach de</w:t>
      </w:r>
      <w:r>
        <w:rPr>
          <w:b/>
        </w:rPr>
        <w:t xml:space="preserve">r Entscheidung des </w:t>
      </w:r>
      <w:r w:rsidRPr="00DE3124">
        <w:rPr>
          <w:b/>
        </w:rPr>
        <w:t>EuGH seine Wirkung.</w:t>
      </w:r>
    </w:p>
    <w:p w14:paraId="05E2695F" w14:textId="77777777" w:rsidR="00C1195D" w:rsidRDefault="00C1195D" w:rsidP="00C1195D">
      <w:pPr>
        <w:ind w:left="1418"/>
        <w:jc w:val="both"/>
      </w:pPr>
    </w:p>
    <w:p w14:paraId="59F10A7F" w14:textId="77777777" w:rsidR="00C1195D" w:rsidRDefault="00C1195D" w:rsidP="00D3000C">
      <w:pPr>
        <w:spacing w:before="120"/>
        <w:ind w:left="709" w:firstLine="709"/>
        <w:jc w:val="both"/>
      </w:pPr>
      <w:r w:rsidRPr="00D3000C">
        <w:rPr>
          <w:b/>
          <w:bCs/>
        </w:rPr>
        <w:t>Hintergrund</w:t>
      </w:r>
    </w:p>
    <w:p w14:paraId="0F2C91B1" w14:textId="0637E1B3" w:rsidR="00C1195D" w:rsidRDefault="00C1195D" w:rsidP="00C1195D">
      <w:pPr>
        <w:pStyle w:val="Listenabsatz"/>
        <w:ind w:left="1418"/>
        <w:jc w:val="both"/>
      </w:pPr>
      <w:r w:rsidRPr="00DE3124">
        <w:t>Bereits mit Urteil vom 19.12.2018 (Rs.C-216/17) hat der EuGH die Angabe entsprechender Höchstgrenzen bei der Ausschreibung von Rahmenvereinbarungen verlangt. Die damalige Entscheidung fußte allerdings auf den „alten“ EU-Vergaberichtlinien aus dem Jahre 2004.</w:t>
      </w:r>
      <w:r w:rsidRPr="00DE3124">
        <w:br/>
      </w:r>
      <w:r w:rsidRPr="00DE3124">
        <w:br/>
        <w:t>Nunmehr bestätigt der EuGH seine Rechtsprechung auch für die aktuell geltende</w:t>
      </w:r>
      <w:r>
        <w:t>n</w:t>
      </w:r>
      <w:r w:rsidRPr="00DE3124">
        <w:t xml:space="preserve"> EU-Vergaberichtlin</w:t>
      </w:r>
      <w:r>
        <w:t>i</w:t>
      </w:r>
      <w:r w:rsidRPr="00DE3124">
        <w:t>e</w:t>
      </w:r>
      <w:r>
        <w:t>n</w:t>
      </w:r>
      <w:r w:rsidRPr="00DE3124">
        <w:t xml:space="preserve"> 2014/24</w:t>
      </w:r>
      <w:r>
        <w:t xml:space="preserve">. Er </w:t>
      </w:r>
      <w:r w:rsidRPr="00DE3124">
        <w:t>beendet damit eine in Deutschland geführte Diskussion</w:t>
      </w:r>
      <w:r>
        <w:t xml:space="preserve">, ob und inwieweit die EuGH-Entscheidung vom 19.12.2018 auch auf die heutige Rechtssituation anwendbar ist. </w:t>
      </w:r>
      <w:r w:rsidRPr="00DE3124">
        <w:t xml:space="preserve">Insoweit hatte etwa das Berliner Kammergericht mit Beschluss vom 20.03.2020 (Verg-7/19) entschieden, dass sich eine Pflicht zur Angabe von Höchstmengen </w:t>
      </w:r>
      <w:r>
        <w:t>aus den aktuellen EU-</w:t>
      </w:r>
      <w:r w:rsidRPr="00DE3124">
        <w:t>Vergaberichtlinien nicht entnehmen lasse.</w:t>
      </w:r>
    </w:p>
    <w:p w14:paraId="28DA4FCB" w14:textId="77777777" w:rsidR="00C1195D" w:rsidRPr="00DE3124" w:rsidRDefault="00C1195D" w:rsidP="00C1195D">
      <w:pPr>
        <w:pStyle w:val="Listenabsatz"/>
        <w:ind w:left="1418"/>
        <w:jc w:val="both"/>
      </w:pPr>
    </w:p>
    <w:p w14:paraId="3BDDE7D3" w14:textId="77777777" w:rsidR="00C1195D" w:rsidRPr="00DE3124" w:rsidRDefault="00C1195D" w:rsidP="00D3000C">
      <w:pPr>
        <w:spacing w:before="120"/>
        <w:ind w:left="709" w:firstLine="709"/>
        <w:jc w:val="both"/>
      </w:pPr>
      <w:r w:rsidRPr="00D3000C">
        <w:rPr>
          <w:b/>
          <w:bCs/>
        </w:rPr>
        <w:t>Das EuGH-Urteil</w:t>
      </w:r>
    </w:p>
    <w:p w14:paraId="48283450" w14:textId="77777777" w:rsidR="00C1195D" w:rsidRDefault="00C1195D" w:rsidP="00C1195D">
      <w:pPr>
        <w:pStyle w:val="Listenabsatz"/>
        <w:ind w:left="1418"/>
        <w:jc w:val="both"/>
      </w:pPr>
      <w:r>
        <w:t>In dem jetzt vom EuGH entschiedenen dänischen Rechtsstreit, der den Erwerb von Ausrüstung für die künstliche Ernährung häuslich versorgter Patienten betraf, wurde vom öffentlichen Auftragsgeber in der Auftragsbekanntmachung keine Angabe zum geschätzten Wert der Beschaffungsleistung der Rahmenvereinbarung und auch nicht zum Höchstwert der Rahmenvereinbarung und den zu beschaffenden Waren vorgenommen. Vielmehr hieß es in der Bekanntmachung, dass der tatsächliche Verbrauch auch höher oder niedriger ausfallen könne als in den Schätzungen angegeben.</w:t>
      </w:r>
    </w:p>
    <w:p w14:paraId="4908A0A9" w14:textId="77777777" w:rsidR="00C1195D" w:rsidRDefault="00C1195D" w:rsidP="00C1195D">
      <w:pPr>
        <w:pStyle w:val="Listenabsatz"/>
        <w:ind w:left="1418"/>
        <w:jc w:val="both"/>
      </w:pPr>
      <w:r>
        <w:br/>
        <w:t>Im Rahmen des von einem Antragsteller eingeleiteten Nachprüfungsverfahrens entschied der EuGH nunmehr, dass es mit den tragenden Vergabegrundsätzen der Gleichbehandlung und Transparenz sowie auch der allgemeinen Systematik der Richtlinie EU-2014/24 nicht vereinbar sei, dass öffentliche Auftraggeber in der Bekanntmachung keine Angaben zu einem Höchstwert der gemäß der Rahmenvereinbarung zu liefernden Waren machen.</w:t>
      </w:r>
    </w:p>
    <w:p w14:paraId="70DBD101" w14:textId="77777777" w:rsidR="00C1195D" w:rsidRDefault="00C1195D">
      <w:r>
        <w:br w:type="page"/>
      </w:r>
    </w:p>
    <w:p w14:paraId="2EC428E9" w14:textId="77777777" w:rsidR="00C1195D" w:rsidRDefault="00C1195D" w:rsidP="00C1195D">
      <w:pPr>
        <w:pStyle w:val="Listenabsatz"/>
        <w:ind w:left="1418"/>
        <w:jc w:val="both"/>
      </w:pPr>
      <w:r>
        <w:lastRenderedPageBreak/>
        <w:t xml:space="preserve">Zwar sei nach Art. 33 </w:t>
      </w:r>
      <w:r w:rsidRPr="009E7B48">
        <w:t>Abs.</w:t>
      </w:r>
      <w:r>
        <w:t xml:space="preserve"> 1 </w:t>
      </w:r>
      <w:proofErr w:type="spellStart"/>
      <w:r>
        <w:t>UAbs</w:t>
      </w:r>
      <w:proofErr w:type="spellEnd"/>
      <w:r>
        <w:t xml:space="preserve">. 2 der EU-Richtlinie 2014/24 die in Aussicht genommene Menge nur „gegebenenfalls“ durch den Auftraggeber festzulegen. Der Wortlaut der Richtlinie lasse daher keinen eindeutigen Schluss darüber zu, ob eine Höchstmenge festzulegen und bekanntzumachen sei oder nicht. Aus den Grundsätzen der Transparenz und Gleichbehandlung ergebe sich jedoch die Pflicht des öffentlichen Auftraggebers, entsprechende Festlegungen zu treffen und in der Bekanntmachung oder den Vergabeunterlagen zu veröffentlichen. </w:t>
      </w:r>
    </w:p>
    <w:p w14:paraId="17DF0921" w14:textId="77777777" w:rsidR="00C1195D" w:rsidRDefault="00C1195D" w:rsidP="00C1195D">
      <w:pPr>
        <w:pStyle w:val="Listenabsatz"/>
        <w:ind w:left="1418"/>
        <w:jc w:val="both"/>
      </w:pPr>
      <w:r>
        <w:br/>
        <w:t>Der EuGH betonte, dass die Angabe der Höchstmenge für die Bieter von erheblicher Bedeutung sei, da die Unternehmen erst auf Basis dieser Angaben ihre Leistungsfähigkeit für die Erfüllung der Verpflichtungen aus der Rahmenvereinbarung beurteilen können.</w:t>
      </w:r>
    </w:p>
    <w:p w14:paraId="43C27497" w14:textId="2FB712A9" w:rsidR="00C1195D" w:rsidRDefault="00C1195D" w:rsidP="00C1195D">
      <w:pPr>
        <w:pStyle w:val="Listenabsatz"/>
        <w:ind w:left="1418"/>
        <w:jc w:val="both"/>
      </w:pPr>
      <w:r>
        <w:br/>
        <w:t xml:space="preserve">Weiter erläutert der EuGH, dass die Pflicht für öffentliche Auftraggeber in der Rahmenvereinbarung, die Höchstmenge oder den Höchstwert der davon erfassten Maßnahmen anzugeben auch das Ziel hat, das Verbot eines missbräuchlichen oder wettbewerbsbeschränkenden Gebrauchs der Rahmenvereinbarungen zu konkretisieren. </w:t>
      </w:r>
    </w:p>
    <w:p w14:paraId="1D53A481" w14:textId="77777777" w:rsidR="00C1195D" w:rsidRDefault="00C1195D" w:rsidP="00C1195D">
      <w:pPr>
        <w:pStyle w:val="Listenabsatz"/>
        <w:ind w:left="1418"/>
        <w:jc w:val="both"/>
      </w:pPr>
    </w:p>
    <w:p w14:paraId="15FF9854" w14:textId="77777777" w:rsidR="00C1195D" w:rsidRPr="00D3000C" w:rsidRDefault="00C1195D" w:rsidP="00D3000C">
      <w:pPr>
        <w:spacing w:before="120"/>
        <w:ind w:left="709" w:firstLine="709"/>
        <w:jc w:val="both"/>
        <w:rPr>
          <w:b/>
          <w:bCs/>
        </w:rPr>
      </w:pPr>
      <w:r w:rsidRPr="00D3000C">
        <w:rPr>
          <w:b/>
          <w:bCs/>
        </w:rPr>
        <w:t>Anmerkung des DStGB</w:t>
      </w:r>
    </w:p>
    <w:p w14:paraId="6DE45D14" w14:textId="77777777" w:rsidR="00C1195D" w:rsidRDefault="00C1195D" w:rsidP="00C1195D">
      <w:pPr>
        <w:pStyle w:val="Listenabsatz"/>
        <w:ind w:left="1418"/>
        <w:jc w:val="both"/>
      </w:pPr>
      <w:r>
        <w:t xml:space="preserve">Mit der jetzigen Entscheidung des EuGHs vom 17. Juni 2021 ist zwar Klarheit in einer vorher in der deutschen Rechtsprechung und auch Literatur umstrittenen Frage eingekehrt. Allerdings wird mit dem Urteil des EuGH aus kommunaler Sicht die in der Praxis bewährte Flexibilität von Rahmenvereinbarungen beschränkt. Damit wird speziell die in § 21 Abs. 1 S. 2 </w:t>
      </w:r>
      <w:r w:rsidRPr="009E7B48">
        <w:t>V</w:t>
      </w:r>
      <w:r>
        <w:t xml:space="preserve">gV zum Tragen Variabilität, wonach bei Rahmenvereinbarungen „das in Aussicht genommene Auftragsvolumen so genau wie möglich zu ermitteln und bekannt zu geben ist, aber nicht abschließend festgelegt zu werden braucht“ ausgehöhlt.  </w:t>
      </w:r>
    </w:p>
    <w:p w14:paraId="5DCBE66F" w14:textId="77777777" w:rsidR="00C1195D" w:rsidRDefault="00C1195D" w:rsidP="00C1195D">
      <w:pPr>
        <w:pStyle w:val="Listenabsatz"/>
        <w:ind w:left="1418"/>
        <w:jc w:val="both"/>
      </w:pPr>
      <w:r>
        <w:br/>
        <w:t xml:space="preserve">Erstaunlich ist auch, dass sich der EUGH für seine Entscheidung nicht auf die konkreten Textvorgaben der EU-Richtlinie 2014/24 und hier des Art. 33 Abs. 1 </w:t>
      </w:r>
      <w:proofErr w:type="spellStart"/>
      <w:r>
        <w:t>UAbs</w:t>
      </w:r>
      <w:proofErr w:type="spellEnd"/>
      <w:r>
        <w:t xml:space="preserve">. 2 beruft, wonach die in Aussicht genommen Menge auch nur „gegebenenfalls“ durch den Auftraggeber festzulegen ist. Vielmehr zieht der EuGH die allgemeinen Prinzipien der Transparenz und der Gleichbehandlung und das Missbrauchsverbot dem klaren Text in Art. 33 Abs. 1 </w:t>
      </w:r>
      <w:proofErr w:type="spellStart"/>
      <w:r>
        <w:t>UAbs</w:t>
      </w:r>
      <w:proofErr w:type="spellEnd"/>
      <w:r>
        <w:t>. 2 der Richtlinie vor.</w:t>
      </w:r>
    </w:p>
    <w:p w14:paraId="62A5E5C4" w14:textId="77777777" w:rsidR="00C1195D" w:rsidRDefault="00C1195D" w:rsidP="00C1195D">
      <w:pPr>
        <w:pStyle w:val="Listenabsatz"/>
        <w:ind w:left="1418"/>
        <w:jc w:val="both"/>
      </w:pPr>
      <w:r>
        <w:br/>
        <w:t xml:space="preserve">Dennoch ist das EuGH-Urteil selbstverständlich auch durch die Kommunen zu beachten. Bei erfolgter Ausschöpfung einer künftig anzugebenden Höchstmenge sollten damit kommunale Auftraggeber stets prüfen, ob nicht ein Fall einer vergaberechtsfreien „Auftragsänderung während der Vertragslaufzeit“ (§ 132 GWB) gegeben ist und daher insoweit auf eine Neuausschreibung verzichtet werden kann. </w:t>
      </w:r>
    </w:p>
    <w:p w14:paraId="09838F55" w14:textId="2101F1CC" w:rsidR="00C1195D" w:rsidRPr="00350DF7" w:rsidRDefault="00C1195D" w:rsidP="00C1195D">
      <w:pPr>
        <w:pStyle w:val="Listenabsatz"/>
        <w:ind w:left="1418"/>
        <w:jc w:val="both"/>
      </w:pPr>
      <w:r>
        <w:br/>
        <w:t>(III/I 608-00, Norbert Portz, 07.07.2021)</w:t>
      </w:r>
    </w:p>
    <w:p w14:paraId="77007B19" w14:textId="77777777" w:rsidR="00C1195D" w:rsidRDefault="00C1195D" w:rsidP="00C1195D">
      <w:pPr>
        <w:ind w:left="1418"/>
      </w:pPr>
    </w:p>
    <w:p w14:paraId="7C353293" w14:textId="77777777" w:rsidR="00C1195D" w:rsidRDefault="00462B02" w:rsidP="00C1195D">
      <w:pPr>
        <w:jc w:val="right"/>
        <w:rPr>
          <w:b/>
          <w:sz w:val="18"/>
        </w:rPr>
      </w:pPr>
      <w:hyperlink r:id="rId17" w:anchor="_top" w:history="1">
        <w:r w:rsidR="00C1195D">
          <w:rPr>
            <w:rStyle w:val="Hyperlink"/>
            <w:b/>
            <w:sz w:val="18"/>
          </w:rPr>
          <w:t>Inhaltsverzeichnis</w:t>
        </w:r>
      </w:hyperlink>
    </w:p>
    <w:p w14:paraId="1FE21C41" w14:textId="77777777" w:rsidR="00C1195D" w:rsidRDefault="00C1195D" w:rsidP="00C1195D">
      <w:r>
        <w:rPr>
          <w:b/>
        </w:rPr>
        <w:br w:type="page"/>
      </w:r>
    </w:p>
    <w:p w14:paraId="40629DFD" w14:textId="77777777" w:rsidR="00C1195D" w:rsidRDefault="00C1195D" w:rsidP="00C1195D">
      <w:pPr>
        <w:rPr>
          <w:b/>
          <w:sz w:val="40"/>
          <w:highlight w:val="lightGray"/>
        </w:rPr>
      </w:pPr>
      <w:r>
        <w:rPr>
          <w:b/>
          <w:sz w:val="40"/>
          <w:highlight w:val="lightGray"/>
        </w:rPr>
        <w:lastRenderedPageBreak/>
        <w:t>STÄDTEBAU, VERGABE UND UMWELT</w:t>
      </w:r>
    </w:p>
    <w:p w14:paraId="2253CB7A" w14:textId="77777777" w:rsidR="00C1195D" w:rsidRDefault="00C1195D" w:rsidP="00C1195D">
      <w:pPr>
        <w:tabs>
          <w:tab w:val="left" w:pos="1418"/>
        </w:tabs>
        <w:rPr>
          <w:b/>
          <w:sz w:val="28"/>
          <w:szCs w:val="28"/>
        </w:rPr>
      </w:pPr>
    </w:p>
    <w:p w14:paraId="2987465A" w14:textId="474BCA4A" w:rsidR="00C1195D" w:rsidRDefault="00C1195D" w:rsidP="00C1195D">
      <w:pPr>
        <w:pStyle w:val="2"/>
        <w:spacing w:before="0" w:after="0"/>
      </w:pPr>
      <w:bookmarkStart w:id="20" w:name="_Toc23835957"/>
      <w:bookmarkStart w:id="21" w:name="_Toc76732610"/>
      <w:r>
        <w:t>0921-</w:t>
      </w:r>
      <w:r w:rsidR="0088289E">
        <w:t>09</w:t>
      </w:r>
      <w:r>
        <w:tab/>
      </w:r>
      <w:bookmarkEnd w:id="20"/>
      <w:r w:rsidRPr="00536448">
        <w:t xml:space="preserve">„Zentrum </w:t>
      </w:r>
      <w:proofErr w:type="spellStart"/>
      <w:r w:rsidRPr="00536448">
        <w:t>KlimaAnpassung</w:t>
      </w:r>
      <w:proofErr w:type="spellEnd"/>
      <w:r w:rsidRPr="00536448">
        <w:t>“ als Beratungsangebot für Kommunen eröffnet</w:t>
      </w:r>
      <w:bookmarkEnd w:id="21"/>
    </w:p>
    <w:p w14:paraId="66C2E433" w14:textId="77777777" w:rsidR="00C1195D" w:rsidRDefault="00C1195D" w:rsidP="00C1195D">
      <w:pPr>
        <w:ind w:left="1418"/>
        <w:rPr>
          <w:b/>
          <w:bCs/>
        </w:rPr>
      </w:pPr>
    </w:p>
    <w:p w14:paraId="107A2C06" w14:textId="1DFDE59C" w:rsidR="00C1195D" w:rsidRPr="00536448" w:rsidRDefault="00C1195D" w:rsidP="00C1195D">
      <w:pPr>
        <w:ind w:left="1418"/>
        <w:jc w:val="both"/>
        <w:rPr>
          <w:b/>
          <w:bCs/>
        </w:rPr>
      </w:pPr>
      <w:r w:rsidRPr="00536448">
        <w:rPr>
          <w:b/>
          <w:bCs/>
        </w:rPr>
        <w:t xml:space="preserve">Das neue „Zentrum </w:t>
      </w:r>
      <w:proofErr w:type="spellStart"/>
      <w:r w:rsidRPr="00536448">
        <w:rPr>
          <w:b/>
          <w:bCs/>
        </w:rPr>
        <w:t>KlimaAnpassung</w:t>
      </w:r>
      <w:proofErr w:type="spellEnd"/>
      <w:r w:rsidRPr="00536448">
        <w:rPr>
          <w:b/>
          <w:bCs/>
        </w:rPr>
        <w:t>“</w:t>
      </w:r>
      <w:r>
        <w:rPr>
          <w:b/>
          <w:bCs/>
        </w:rPr>
        <w:t xml:space="preserve"> des Bundes</w:t>
      </w:r>
      <w:r w:rsidRPr="00536448">
        <w:rPr>
          <w:b/>
          <w:bCs/>
        </w:rPr>
        <w:t xml:space="preserve"> wurde am 07.07.2021 eröffnet. Die Einrichtung des Zentrums geht auf ein</w:t>
      </w:r>
      <w:r>
        <w:rPr>
          <w:b/>
          <w:bCs/>
        </w:rPr>
        <w:t>e Initiative des BMU</w:t>
      </w:r>
      <w:r w:rsidRPr="00536448">
        <w:rPr>
          <w:b/>
          <w:bCs/>
        </w:rPr>
        <w:t xml:space="preserve"> </w:t>
      </w:r>
      <w:r>
        <w:rPr>
          <w:b/>
          <w:bCs/>
        </w:rPr>
        <w:t>und der</w:t>
      </w:r>
      <w:r w:rsidRPr="00536448">
        <w:rPr>
          <w:b/>
          <w:bCs/>
        </w:rPr>
        <w:t xml:space="preserve"> kommunalen Spitzenverbänden zurück.</w:t>
      </w:r>
    </w:p>
    <w:p w14:paraId="39F78E3D" w14:textId="77777777" w:rsidR="00C1195D" w:rsidRDefault="00C1195D" w:rsidP="00C1195D">
      <w:pPr>
        <w:ind w:left="1418"/>
        <w:jc w:val="both"/>
      </w:pPr>
    </w:p>
    <w:p w14:paraId="69188C81" w14:textId="2EF0CD8D" w:rsidR="00C1195D" w:rsidRDefault="00C1195D" w:rsidP="00C1195D">
      <w:pPr>
        <w:ind w:left="1418"/>
        <w:jc w:val="both"/>
      </w:pPr>
      <w:r w:rsidRPr="00536448">
        <w:t>Durch das</w:t>
      </w:r>
      <w:r>
        <w:t xml:space="preserve"> „Zentrum </w:t>
      </w:r>
      <w:proofErr w:type="spellStart"/>
      <w:r>
        <w:t>KlimaAnpassung</w:t>
      </w:r>
      <w:proofErr w:type="spellEnd"/>
      <w:r>
        <w:t xml:space="preserve">“, </w:t>
      </w:r>
      <w:r w:rsidR="00D3000C">
        <w:t>das</w:t>
      </w:r>
      <w:r>
        <w:t xml:space="preserve"> ein Bestandteil der Deutschen Anpassungsstrategie an den Klimawandel (DAS) ist, </w:t>
      </w:r>
      <w:r w:rsidRPr="00536448">
        <w:t>sollen Städte und Gemeinden sowie soziale Einrichtungen bundesweit bei der Planung, Umsetzung und Identifizierung von passenden Fördermöglichkeiten von Maßnahmen zur Klimaanpassung unterstützt werden.</w:t>
      </w:r>
      <w:r>
        <w:t xml:space="preserve"> </w:t>
      </w:r>
      <w:r w:rsidRPr="00536448">
        <w:t>Durch eine aktive Vernetzung der zahlreichen Institutionen und Experten im Bereich der Klimaanpassung, sollen wirkungsvolle Anpassungsmaßnahmen auf kommunaler Ebene umgesetzt werden.</w:t>
      </w:r>
    </w:p>
    <w:p w14:paraId="6DD3229A" w14:textId="77777777" w:rsidR="00C1195D" w:rsidRDefault="00C1195D" w:rsidP="00C1195D">
      <w:pPr>
        <w:ind w:left="1418"/>
      </w:pPr>
    </w:p>
    <w:p w14:paraId="57E363CE" w14:textId="77777777" w:rsidR="00C1195D" w:rsidRDefault="00C1195D" w:rsidP="00C1195D">
      <w:pPr>
        <w:ind w:left="1418"/>
        <w:jc w:val="both"/>
      </w:pPr>
      <w:r>
        <w:t xml:space="preserve">An der Eröffnung nahm für den DStGB </w:t>
      </w:r>
      <w:r w:rsidRPr="00907680">
        <w:rPr>
          <w:b/>
        </w:rPr>
        <w:t xml:space="preserve">Prof. Dr. Christoph </w:t>
      </w:r>
      <w:proofErr w:type="spellStart"/>
      <w:r w:rsidRPr="00907680">
        <w:rPr>
          <w:b/>
        </w:rPr>
        <w:t>Landscheidt</w:t>
      </w:r>
      <w:proofErr w:type="spellEnd"/>
      <w:r w:rsidRPr="00DC3914">
        <w:t xml:space="preserve">, Vize-Präsident des </w:t>
      </w:r>
      <w:r>
        <w:t>DStGB</w:t>
      </w:r>
      <w:r w:rsidRPr="00DC3914">
        <w:t xml:space="preserve"> und Bürgermeister der Stadt Kamp-Lintfort</w:t>
      </w:r>
      <w:r>
        <w:t xml:space="preserve">, teil. Er hob hervor, dass die aus dem Klimawandel resultierenden Risiken für Bürgerinnen und Bürger, die </w:t>
      </w:r>
      <w:r w:rsidRPr="00DC3914">
        <w:t xml:space="preserve">öffentliche Infrastruktur, die Wirtschaft sowie für die Natur und Umwelt weiter </w:t>
      </w:r>
      <w:r>
        <w:t>ansteigen werden. Dies gelte sowohl für dichtbesiedelte Städte als auch für Gemeinden in ländlichen Räumen. Die Anpassung an den Klimawandel sei daher eine zentrale Zukunftsaufgabe der Kommunen.</w:t>
      </w:r>
    </w:p>
    <w:p w14:paraId="3A1FE1AB" w14:textId="77777777" w:rsidR="00C1195D" w:rsidRDefault="00C1195D" w:rsidP="00D3000C">
      <w:pPr>
        <w:jc w:val="both"/>
      </w:pPr>
    </w:p>
    <w:p w14:paraId="3AAABD01" w14:textId="39C61354" w:rsidR="00C1195D" w:rsidRPr="00D3000C" w:rsidRDefault="00C1195D" w:rsidP="00D3000C">
      <w:pPr>
        <w:ind w:left="1418"/>
        <w:jc w:val="both"/>
        <w:rPr>
          <w:b/>
        </w:rPr>
      </w:pPr>
      <w:r w:rsidRPr="00CF7A7A">
        <w:rPr>
          <w:b/>
        </w:rPr>
        <w:t>Anmerkung des DStGB</w:t>
      </w:r>
    </w:p>
    <w:p w14:paraId="43219C9D" w14:textId="77777777" w:rsidR="00C1195D" w:rsidRDefault="00C1195D" w:rsidP="00C1195D">
      <w:pPr>
        <w:ind w:left="1418"/>
        <w:jc w:val="both"/>
      </w:pPr>
      <w:r>
        <w:t>Es ist unabdingbar, dass sich Städte und Gemeinden auf die Folgewirkungen des Klimawandels einstellen und nachhaltige Konzepte zur Resilienz entwickeln. Es darf nicht nur darum gehen, Schäden nach Extremwetterereignissen zu beseitigen, sondern mit klugen Konzepten vorzubeugen und geeignete Anpassungsmaßnahmen zu ergreifen.</w:t>
      </w:r>
    </w:p>
    <w:p w14:paraId="7B821749" w14:textId="77777777" w:rsidR="00C1195D" w:rsidRDefault="00C1195D" w:rsidP="00C1195D">
      <w:pPr>
        <w:ind w:left="1418"/>
        <w:jc w:val="both"/>
      </w:pPr>
    </w:p>
    <w:p w14:paraId="48C44D12" w14:textId="77777777" w:rsidR="00C1195D" w:rsidRDefault="00C1195D" w:rsidP="00C1195D">
      <w:pPr>
        <w:ind w:left="1418"/>
        <w:jc w:val="both"/>
      </w:pPr>
      <w:r>
        <w:t>Das bedeutet insbesondere, dass unsere Städte „grüner und blauer“ werden müssen. Schattenspendende Bäume und Grünzüge in unseren Innenstädten können vor Hitze schützen und für ein gutes Mikroklima sorgen. Mit Blick auf Starkregenereignisse gilt es, Flächen zu entsiegeln, damit das Regenwasser besser versickern kann. Es muss das Prinzip der „Schwammstadt“ verstärkt umgesetzt werden.</w:t>
      </w:r>
    </w:p>
    <w:p w14:paraId="2DCD87A1" w14:textId="77777777" w:rsidR="00C1195D" w:rsidRDefault="00C1195D" w:rsidP="00C1195D">
      <w:pPr>
        <w:ind w:left="1418"/>
      </w:pPr>
    </w:p>
    <w:p w14:paraId="40D8E808" w14:textId="77777777" w:rsidR="00C1195D" w:rsidRDefault="00C1195D" w:rsidP="00C1195D">
      <w:pPr>
        <w:ind w:left="1418"/>
        <w:jc w:val="both"/>
      </w:pPr>
      <w:r>
        <w:t>Die Kommunen kümmern sich bereits seit vielen Jahren aktiv um den Klimaschutz und die Anpassung an die Folgen des Klimawandels. Dieser Weg muss – mit der Unterstützung von Bund und Ländern – auch in Zukunft konsequent fortgesetzt werden.</w:t>
      </w:r>
    </w:p>
    <w:p w14:paraId="5C4A4BC1" w14:textId="77777777" w:rsidR="00C1195D" w:rsidRDefault="00C1195D" w:rsidP="00C1195D">
      <w:pPr>
        <w:ind w:left="1418"/>
        <w:jc w:val="both"/>
      </w:pPr>
    </w:p>
    <w:p w14:paraId="29490494" w14:textId="614B3060" w:rsidR="00C1195D" w:rsidRPr="00536448" w:rsidRDefault="00C1195D" w:rsidP="00C1195D">
      <w:pPr>
        <w:ind w:left="1418"/>
        <w:jc w:val="both"/>
      </w:pPr>
      <w:r>
        <w:t xml:space="preserve">Es ist daher </w:t>
      </w:r>
      <w:r w:rsidR="00D3000C">
        <w:t>zu begrüßen</w:t>
      </w:r>
      <w:r>
        <w:t xml:space="preserve">, dass das „Zentrum </w:t>
      </w:r>
      <w:proofErr w:type="spellStart"/>
      <w:r>
        <w:t>KlimaAnpassung</w:t>
      </w:r>
      <w:proofErr w:type="spellEnd"/>
      <w:r>
        <w:t xml:space="preserve">“ nun schnell auf den Weg gebracht werden konnte. Das Beratungsangebot sollte aktiv genutzt und die Fördermöglichkeiten in Anspruch genommen </w:t>
      </w:r>
      <w:r>
        <w:lastRenderedPageBreak/>
        <w:t>werden. Gerade in diesem Bereich gilt: Vorsorgend planen und handeln und da</w:t>
      </w:r>
      <w:r w:rsidR="00D3000C">
        <w:t>bei von guten Beispielen lernen.</w:t>
      </w:r>
    </w:p>
    <w:p w14:paraId="714176F5" w14:textId="77777777" w:rsidR="00C1195D" w:rsidRPr="00536448" w:rsidRDefault="00C1195D" w:rsidP="00C1195D">
      <w:pPr>
        <w:ind w:left="1418"/>
        <w:jc w:val="both"/>
      </w:pPr>
    </w:p>
    <w:p w14:paraId="777D82FF" w14:textId="77777777" w:rsidR="00C1195D" w:rsidRDefault="00C1195D" w:rsidP="00C1195D">
      <w:pPr>
        <w:ind w:left="1418"/>
        <w:jc w:val="both"/>
        <w:rPr>
          <w:rStyle w:val="Hyperlink"/>
        </w:rPr>
      </w:pPr>
      <w:r w:rsidRPr="00536448">
        <w:t xml:space="preserve">Weitere Informationen zum Angebot und zur Erreichbarkeit des „Zentrums </w:t>
      </w:r>
      <w:proofErr w:type="spellStart"/>
      <w:r w:rsidRPr="00536448">
        <w:t>KlimaAnpassung</w:t>
      </w:r>
      <w:proofErr w:type="spellEnd"/>
      <w:r w:rsidRPr="00536448">
        <w:t xml:space="preserve">“ finden Sie unter: </w:t>
      </w:r>
      <w:hyperlink r:id="rId18" w:history="1">
        <w:r w:rsidRPr="00536448">
          <w:rPr>
            <w:rStyle w:val="Hyperlink"/>
          </w:rPr>
          <w:t>www.zentrum-klimaanpassung.de</w:t>
        </w:r>
      </w:hyperlink>
    </w:p>
    <w:p w14:paraId="2517635B" w14:textId="77777777" w:rsidR="00C1195D" w:rsidRPr="00536448" w:rsidRDefault="00C1195D" w:rsidP="00C1195D">
      <w:pPr>
        <w:ind w:left="1418"/>
      </w:pPr>
    </w:p>
    <w:p w14:paraId="79A2CE22" w14:textId="1E66924D" w:rsidR="008F4FFE" w:rsidRDefault="00576317" w:rsidP="008F4FFE">
      <w:pPr>
        <w:ind w:left="1418"/>
      </w:pPr>
      <w:r>
        <w:t xml:space="preserve">Die anlässlich der Eröffnung veröffentlichte Pressemitteilung </w:t>
      </w:r>
      <w:r w:rsidR="008F4FFE">
        <w:t>kann im D</w:t>
      </w:r>
      <w:r w:rsidR="008F4FFE" w:rsidRPr="00FC4977">
        <w:t>StGB-Aktuell-Beitr</w:t>
      </w:r>
      <w:r w:rsidR="008F4FFE">
        <w:t>ag</w:t>
      </w:r>
      <w:r w:rsidR="008F4FFE" w:rsidRPr="00FC4977">
        <w:t xml:space="preserve"> </w:t>
      </w:r>
      <w:r w:rsidR="008F4FFE">
        <w:t>2721-16</w:t>
      </w:r>
      <w:r w:rsidR="008F4FFE">
        <w:t xml:space="preserve"> </w:t>
      </w:r>
      <w:r w:rsidR="008F4FFE" w:rsidRPr="00FC4977">
        <w:t>in dieser Ausgabe</w:t>
      </w:r>
      <w:r w:rsidR="008F4FFE">
        <w:t xml:space="preserve"> nachgelesen werden</w:t>
      </w:r>
      <w:r w:rsidR="008F4FFE" w:rsidRPr="00FC4977">
        <w:t>.</w:t>
      </w:r>
    </w:p>
    <w:p w14:paraId="7DB1C269" w14:textId="77777777" w:rsidR="00576317" w:rsidRDefault="00576317" w:rsidP="00C1195D">
      <w:pPr>
        <w:ind w:left="1418"/>
      </w:pPr>
    </w:p>
    <w:p w14:paraId="1D744C3C" w14:textId="745BB814" w:rsidR="00C1195D" w:rsidRPr="00536448" w:rsidRDefault="00C1195D" w:rsidP="00C1195D">
      <w:pPr>
        <w:ind w:left="1418"/>
      </w:pPr>
      <w:r w:rsidRPr="00536448">
        <w:t>(III/2 843-00, Alexander Kramer, 07.07.2021)</w:t>
      </w:r>
    </w:p>
    <w:p w14:paraId="585D077B" w14:textId="77777777" w:rsidR="00C1195D" w:rsidRDefault="00C1195D" w:rsidP="00C1195D">
      <w:pPr>
        <w:ind w:left="1418"/>
      </w:pPr>
    </w:p>
    <w:p w14:paraId="03F4E7E8" w14:textId="77777777" w:rsidR="00C1195D" w:rsidRDefault="00C1195D" w:rsidP="00C1195D">
      <w:pPr>
        <w:ind w:left="1418"/>
      </w:pPr>
    </w:p>
    <w:p w14:paraId="65716A2C" w14:textId="77777777" w:rsidR="00C1195D" w:rsidRDefault="00462B02" w:rsidP="00C1195D">
      <w:pPr>
        <w:jc w:val="right"/>
        <w:rPr>
          <w:rStyle w:val="Hyperlink"/>
          <w:b/>
          <w:sz w:val="18"/>
        </w:rPr>
      </w:pPr>
      <w:hyperlink r:id="rId19" w:anchor="_top" w:history="1">
        <w:r w:rsidR="00C1195D">
          <w:rPr>
            <w:rStyle w:val="Hyperlink"/>
            <w:b/>
            <w:sz w:val="18"/>
          </w:rPr>
          <w:t>Inhaltsverzeichnis</w:t>
        </w:r>
      </w:hyperlink>
    </w:p>
    <w:p w14:paraId="4B031158" w14:textId="77777777" w:rsidR="00C1195D" w:rsidRDefault="00C1195D" w:rsidP="00C1195D">
      <w:pPr>
        <w:jc w:val="right"/>
      </w:pPr>
    </w:p>
    <w:p w14:paraId="30FF8B2B" w14:textId="77777777" w:rsidR="00C1195D" w:rsidRDefault="00C1195D" w:rsidP="00C1195D">
      <w:pPr>
        <w:rPr>
          <w:b/>
          <w:sz w:val="40"/>
          <w:highlight w:val="lightGray"/>
        </w:rPr>
      </w:pPr>
      <w:r>
        <w:rPr>
          <w:bCs/>
        </w:rPr>
        <w:br w:type="page"/>
      </w:r>
      <w:r>
        <w:rPr>
          <w:b/>
          <w:sz w:val="40"/>
          <w:highlight w:val="lightGray"/>
        </w:rPr>
        <w:lastRenderedPageBreak/>
        <w:t>STÄDTEBAU, VERGABE UND UMWELT</w:t>
      </w:r>
    </w:p>
    <w:p w14:paraId="568AB016" w14:textId="77777777" w:rsidR="00C1195D" w:rsidRDefault="00C1195D" w:rsidP="00C1195D">
      <w:pPr>
        <w:tabs>
          <w:tab w:val="left" w:pos="1418"/>
        </w:tabs>
        <w:rPr>
          <w:b/>
          <w:sz w:val="28"/>
          <w:szCs w:val="28"/>
        </w:rPr>
      </w:pPr>
    </w:p>
    <w:p w14:paraId="4C514C28" w14:textId="1547BCA4" w:rsidR="00C1195D" w:rsidRDefault="00C1195D" w:rsidP="00C1195D">
      <w:pPr>
        <w:pStyle w:val="2"/>
        <w:spacing w:before="0" w:after="0"/>
      </w:pPr>
      <w:bookmarkStart w:id="22" w:name="_Toc76732611"/>
      <w:r>
        <w:t>0921-</w:t>
      </w:r>
      <w:r w:rsidR="0088289E">
        <w:t>10</w:t>
      </w:r>
      <w:r>
        <w:tab/>
      </w:r>
      <w:r w:rsidRPr="003D5CEB">
        <w:t xml:space="preserve">Insektenschutzgesetz in Bundestag und </w:t>
      </w:r>
      <w:r>
        <w:t xml:space="preserve">im </w:t>
      </w:r>
      <w:r w:rsidRPr="003D5CEB">
        <w:t>Bundesrat verabschiedet</w:t>
      </w:r>
      <w:bookmarkEnd w:id="22"/>
    </w:p>
    <w:p w14:paraId="69CDE526" w14:textId="77777777" w:rsidR="00C1195D" w:rsidRDefault="00C1195D" w:rsidP="00C1195D">
      <w:pPr>
        <w:ind w:left="1418"/>
        <w:rPr>
          <w:b/>
        </w:rPr>
      </w:pPr>
    </w:p>
    <w:p w14:paraId="61367AB8" w14:textId="44075ED5" w:rsidR="00C1195D" w:rsidRDefault="00C1195D" w:rsidP="00C1195D">
      <w:pPr>
        <w:ind w:left="1418"/>
        <w:jc w:val="both"/>
        <w:rPr>
          <w:b/>
        </w:rPr>
      </w:pPr>
      <w:r w:rsidRPr="003D5CEB">
        <w:rPr>
          <w:b/>
        </w:rPr>
        <w:t xml:space="preserve">Am 25.06.2021 wurde neben der Pflanzenschutz-Anwendungsverordnung </w:t>
      </w:r>
      <w:r>
        <w:rPr>
          <w:b/>
        </w:rPr>
        <w:t xml:space="preserve">auch </w:t>
      </w:r>
      <w:r w:rsidRPr="003D5CEB">
        <w:rPr>
          <w:b/>
        </w:rPr>
        <w:t xml:space="preserve">das Insektenschutzgesetz (ISG) vom Bundesrat verabschiedet. Beide </w:t>
      </w:r>
      <w:r>
        <w:rPr>
          <w:b/>
        </w:rPr>
        <w:t xml:space="preserve">Regelungswerke </w:t>
      </w:r>
      <w:r w:rsidRPr="003D5CEB">
        <w:rPr>
          <w:b/>
        </w:rPr>
        <w:t>sind Teil des Aktionsprogramms „Insektenschutz“ der Bundesregierung. Zuvor hatte der Bundestag das ISG am 24.06.2021 verabschiedet.</w:t>
      </w:r>
    </w:p>
    <w:p w14:paraId="40C102E8" w14:textId="77777777" w:rsidR="00C1195D" w:rsidRPr="003D5CEB" w:rsidRDefault="00C1195D" w:rsidP="00576317">
      <w:pPr>
        <w:jc w:val="both"/>
        <w:rPr>
          <w:b/>
        </w:rPr>
      </w:pPr>
    </w:p>
    <w:p w14:paraId="47994C1F" w14:textId="77777777" w:rsidR="00C1195D" w:rsidRDefault="00C1195D" w:rsidP="00C1195D">
      <w:pPr>
        <w:ind w:left="1418"/>
        <w:jc w:val="both"/>
      </w:pPr>
      <w:r w:rsidRPr="003D5CEB">
        <w:t xml:space="preserve">Hintergrund des ISG ist, dass sowohl die Gesamtmenge der Insekten als auch die Vielfalt der Insektenarten die letzten Jahre über in Deutschland stark zurückgegangen ist. Die Ursachen dafür sind vielfältig. Zu den wichtigsten </w:t>
      </w:r>
      <w:r>
        <w:t xml:space="preserve">Gründen </w:t>
      </w:r>
      <w:r w:rsidRPr="003D5CEB">
        <w:t>zählen der Verlust und die qualitative Verschlechterung von Insektenlebensräumen, der Verlust der Strukturvielfalt in der Landschaft, ein Management von Naturschutzgebieten, das zum Teil die Bedürfnisse von Insekten unzureichend berücksichtigt, die Anwendung von Pflanzenschutzmitteln, der Eintrag von Nähr- und Schadstoffen in Böden und Gewässer und die Lichtverschmutzung.</w:t>
      </w:r>
    </w:p>
    <w:p w14:paraId="5F0A279D" w14:textId="77777777" w:rsidR="00C1195D" w:rsidRPr="003D5CEB" w:rsidRDefault="00C1195D" w:rsidP="00C1195D">
      <w:pPr>
        <w:ind w:left="1418"/>
        <w:jc w:val="both"/>
      </w:pPr>
    </w:p>
    <w:p w14:paraId="239E9086" w14:textId="77777777" w:rsidR="00C1195D" w:rsidRDefault="00C1195D" w:rsidP="00C1195D">
      <w:pPr>
        <w:ind w:left="1418"/>
        <w:jc w:val="both"/>
      </w:pPr>
      <w:r w:rsidRPr="003D5CEB">
        <w:t xml:space="preserve">Das Insektensterben ist kein lokales oder regionales Phänomen, sondern eine deutschlandweite </w:t>
      </w:r>
      <w:r>
        <w:t xml:space="preserve">und darüber hinausgehende </w:t>
      </w:r>
      <w:r w:rsidRPr="003D5CEB">
        <w:t>Entwicklung. Der Insektenschutz ist ein Allgemeinwohlanliegen</w:t>
      </w:r>
      <w:r>
        <w:t xml:space="preserve"> und auch im Interesse der Städte und Gemeinden. </w:t>
      </w:r>
      <w:r w:rsidRPr="003D5CEB">
        <w:t xml:space="preserve">Denn ohne Insekten kann der Mensch nicht leben. Dieser massive Rückgang von Insekten und ihrer Vielfalt hat weitreichende Konsequenzen für die Umwelt und uns Menschen. Insekten sind ein integraler Teil der biologischen Vielfalt und spielen in unseren Ökosystemen </w:t>
      </w:r>
      <w:r>
        <w:t xml:space="preserve">und damit auch beim kommunalen Naturschutz </w:t>
      </w:r>
      <w:r w:rsidRPr="003D5CEB">
        <w:t xml:space="preserve">eine wichtige Rolle. </w:t>
      </w:r>
    </w:p>
    <w:p w14:paraId="151B1A08" w14:textId="77777777" w:rsidR="00C1195D" w:rsidRDefault="00C1195D" w:rsidP="00C1195D">
      <w:pPr>
        <w:ind w:left="1418"/>
        <w:jc w:val="both"/>
      </w:pPr>
    </w:p>
    <w:p w14:paraId="4BC264F8" w14:textId="77777777" w:rsidR="00C1195D" w:rsidRPr="00576317" w:rsidRDefault="00C1195D" w:rsidP="00576317">
      <w:pPr>
        <w:ind w:left="709" w:firstLine="709"/>
        <w:contextualSpacing/>
        <w:jc w:val="both"/>
        <w:rPr>
          <w:b/>
        </w:rPr>
      </w:pPr>
      <w:r w:rsidRPr="00576317">
        <w:rPr>
          <w:b/>
        </w:rPr>
        <w:t>Inhalte und Kernpunkte des ISG</w:t>
      </w:r>
    </w:p>
    <w:p w14:paraId="7BA8638B" w14:textId="77777777" w:rsidR="00C1195D" w:rsidRPr="003D5CEB" w:rsidRDefault="00C1195D" w:rsidP="00C1195D">
      <w:pPr>
        <w:ind w:left="1418"/>
        <w:jc w:val="both"/>
      </w:pPr>
    </w:p>
    <w:p w14:paraId="05FFC974" w14:textId="77777777" w:rsidR="00C1195D" w:rsidRDefault="00C1195D" w:rsidP="00C1195D">
      <w:pPr>
        <w:ind w:left="1418"/>
        <w:jc w:val="both"/>
      </w:pPr>
      <w:r>
        <w:t xml:space="preserve">Den Gesetzesentwurf des ISG finden Sie </w:t>
      </w:r>
      <w:hyperlink r:id="rId20" w:history="1">
        <w:r w:rsidRPr="0034511A">
          <w:rPr>
            <w:rStyle w:val="Hyperlink"/>
          </w:rPr>
          <w:t>hier</w:t>
        </w:r>
      </w:hyperlink>
      <w:r>
        <w:t xml:space="preserve">. </w:t>
      </w:r>
      <w:r w:rsidRPr="003D5CEB">
        <w:t xml:space="preserve">Das </w:t>
      </w:r>
      <w:r>
        <w:t>Gesetz</w:t>
      </w:r>
      <w:r w:rsidRPr="003D5CEB">
        <w:t xml:space="preserve"> sieht unter anderem die folgenden Änderungen des Bundesnaturschutzgesetzes vor:</w:t>
      </w:r>
    </w:p>
    <w:p w14:paraId="725E1A91" w14:textId="77777777" w:rsidR="00C1195D" w:rsidRDefault="00C1195D" w:rsidP="0088289E">
      <w:pPr>
        <w:numPr>
          <w:ilvl w:val="0"/>
          <w:numId w:val="5"/>
        </w:numPr>
        <w:spacing w:before="120"/>
        <w:ind w:left="1702" w:hanging="284"/>
        <w:jc w:val="both"/>
      </w:pPr>
      <w:r w:rsidRPr="003D5CEB">
        <w:t>Stärkung der Landschaftsplanung und damit auch des Insektenschutzes in Planungsverfahren unter anderem dadurch, dass konkrete Anwendungsbeispiele von Grünordnungsplänen aufgezählt werden</w:t>
      </w:r>
    </w:p>
    <w:p w14:paraId="3614DDC4" w14:textId="58C13C1B" w:rsidR="00C1195D" w:rsidRDefault="00C1195D" w:rsidP="0088289E">
      <w:pPr>
        <w:numPr>
          <w:ilvl w:val="0"/>
          <w:numId w:val="5"/>
        </w:numPr>
        <w:spacing w:before="120"/>
        <w:ind w:left="1702" w:hanging="284"/>
        <w:jc w:val="both"/>
      </w:pPr>
      <w:r w:rsidRPr="003D5CEB">
        <w:t>Ausweitung des gesetzlichen Biotopschutzes auf "</w:t>
      </w:r>
      <w:r w:rsidRPr="00763849">
        <w:t>magere Flachland-Mähwiesen und Berg-Mähwiesen</w:t>
      </w:r>
      <w:r w:rsidRPr="003D5CEB">
        <w:t>", "Streuobstwiesen", "Steinriegel" und "Trockenmauern" als Biotope, die vielen Insektenarten wichtige Lebensräume bieten</w:t>
      </w:r>
    </w:p>
    <w:p w14:paraId="7ED2ECC0" w14:textId="77777777" w:rsidR="00C1195D" w:rsidRDefault="00C1195D" w:rsidP="0088289E">
      <w:pPr>
        <w:numPr>
          <w:ilvl w:val="0"/>
          <w:numId w:val="5"/>
        </w:numPr>
        <w:spacing w:before="120"/>
        <w:ind w:left="1702" w:hanging="284"/>
        <w:jc w:val="both"/>
      </w:pPr>
      <w:r w:rsidRPr="003D5CEB">
        <w:t xml:space="preserve">Einschränkung des </w:t>
      </w:r>
      <w:proofErr w:type="spellStart"/>
      <w:r w:rsidRPr="003D5CEB">
        <w:t>Biozideinsatzes</w:t>
      </w:r>
      <w:proofErr w:type="spellEnd"/>
      <w:r w:rsidRPr="003D5CEB">
        <w:t xml:space="preserve"> in einer Reihe von Schutzgebieten, um in diesen ökologisch besonders schutzbedürftigen Bereichen Insekten und ihre Lebensräume besonders zu schützen</w:t>
      </w:r>
    </w:p>
    <w:p w14:paraId="0BE94599" w14:textId="77777777" w:rsidR="00C1195D" w:rsidRDefault="00C1195D" w:rsidP="0088289E">
      <w:pPr>
        <w:numPr>
          <w:ilvl w:val="0"/>
          <w:numId w:val="5"/>
        </w:numPr>
        <w:spacing w:before="120"/>
        <w:ind w:left="1702" w:hanging="284"/>
        <w:jc w:val="both"/>
      </w:pPr>
      <w:r w:rsidRPr="003D5CEB">
        <w:lastRenderedPageBreak/>
        <w:t>Stärkung temporärer Naturschutzmaßnahmen, auch um Anreize für die Schaffung zusätzlicher temporärer Lebensräume für Insekten zu setzen</w:t>
      </w:r>
    </w:p>
    <w:p w14:paraId="4FE1A565" w14:textId="77777777" w:rsidR="00C1195D" w:rsidRDefault="00C1195D" w:rsidP="0088289E">
      <w:pPr>
        <w:numPr>
          <w:ilvl w:val="0"/>
          <w:numId w:val="5"/>
        </w:numPr>
        <w:spacing w:before="120"/>
        <w:ind w:left="1702" w:hanging="284"/>
        <w:jc w:val="both"/>
      </w:pPr>
      <w:r w:rsidRPr="003D5CEB">
        <w:t>Unterbindung der Neuerrichtung bestimmter Beleuchtungsanlagen in bestimmten Schutzgebieten, unter anderem, da nachtaktive Insekten vielfach von künstlichen Lichtquellen angelockt werden und dort verenden („Staubsaugereffekt“)</w:t>
      </w:r>
    </w:p>
    <w:p w14:paraId="05590FF6" w14:textId="77777777" w:rsidR="00C1195D" w:rsidRPr="003D5CEB" w:rsidRDefault="00C1195D" w:rsidP="0088289E">
      <w:pPr>
        <w:numPr>
          <w:ilvl w:val="0"/>
          <w:numId w:val="5"/>
        </w:numPr>
        <w:spacing w:before="120"/>
        <w:ind w:left="1702" w:hanging="284"/>
        <w:jc w:val="both"/>
      </w:pPr>
      <w:r w:rsidRPr="003D5CEB">
        <w:t>Schaffung von Ermächtigungsgrundlagen zum Erlass von Rechtsverordnungen zur weitergehenden Verringerung der Lichtverschmutzung und zur Beschränkung des Einsatzes von Insektenfallen.</w:t>
      </w:r>
    </w:p>
    <w:p w14:paraId="44C60BEF" w14:textId="77777777" w:rsidR="00C1195D" w:rsidRDefault="00C1195D" w:rsidP="00C1195D">
      <w:pPr>
        <w:ind w:left="1418"/>
        <w:jc w:val="both"/>
      </w:pPr>
    </w:p>
    <w:p w14:paraId="7CC4B92C" w14:textId="77777777" w:rsidR="00C1195D" w:rsidRPr="00576317" w:rsidRDefault="00C1195D" w:rsidP="00576317">
      <w:pPr>
        <w:ind w:left="709" w:firstLine="709"/>
        <w:contextualSpacing/>
        <w:jc w:val="both"/>
        <w:rPr>
          <w:b/>
        </w:rPr>
      </w:pPr>
      <w:r w:rsidRPr="00576317">
        <w:rPr>
          <w:b/>
        </w:rPr>
        <w:t>Anmerkung des DStGB</w:t>
      </w:r>
    </w:p>
    <w:p w14:paraId="646715C3" w14:textId="2B5EB630" w:rsidR="00C1195D" w:rsidRDefault="00C1195D" w:rsidP="00576317">
      <w:pPr>
        <w:ind w:left="1418"/>
        <w:jc w:val="both"/>
      </w:pPr>
      <w:r>
        <w:t xml:space="preserve">Über den Entwurf des ISG und der </w:t>
      </w:r>
      <w:r w:rsidRPr="003D5CEB">
        <w:t>Pflanzenschutz-Anwendungsverordnung</w:t>
      </w:r>
      <w:r>
        <w:t xml:space="preserve"> </w:t>
      </w:r>
      <w:r w:rsidR="00576317">
        <w:t>wurde</w:t>
      </w:r>
      <w:r>
        <w:t xml:space="preserve"> bereits </w:t>
      </w:r>
      <w:r w:rsidRPr="003D5CEB">
        <w:t>i</w:t>
      </w:r>
      <w:r w:rsidR="00576317">
        <w:t>m DStGB-A</w:t>
      </w:r>
      <w:r>
        <w:t>ktuell-</w:t>
      </w:r>
      <w:r w:rsidRPr="003D5CEB">
        <w:t>Beitrag 0621-11 vom 12.02.2021 berichtet.</w:t>
      </w:r>
      <w:r>
        <w:t xml:space="preserve"> </w:t>
      </w:r>
      <w:r w:rsidRPr="003D5CEB">
        <w:t xml:space="preserve">Wegen der Änderungen durch die Pflanzenschutz-Anwendungsverordnung wird </w:t>
      </w:r>
      <w:r>
        <w:t xml:space="preserve">im Übrigen </w:t>
      </w:r>
      <w:r w:rsidRPr="003D5CEB">
        <w:t xml:space="preserve">auf den Beitrag 2621-08 in DStGB Aktuell vom 02.07.2021 verwiesen. </w:t>
      </w:r>
    </w:p>
    <w:p w14:paraId="61BAC7C2" w14:textId="77777777" w:rsidR="00C1195D" w:rsidRPr="003D5CEB" w:rsidRDefault="00C1195D" w:rsidP="00C1195D">
      <w:pPr>
        <w:ind w:left="1418"/>
        <w:jc w:val="both"/>
      </w:pPr>
      <w:r w:rsidRPr="003D5CEB">
        <w:t xml:space="preserve">Zudem </w:t>
      </w:r>
      <w:r>
        <w:t xml:space="preserve">hat der DStGB gemeinsam mit dem </w:t>
      </w:r>
      <w:r w:rsidRPr="003D5CEB">
        <w:t>Bundesamt für Naturschutz die Dokumentation „Insektenschutz in Kommunen“ h</w:t>
      </w:r>
      <w:r>
        <w:t xml:space="preserve">erausgegeben. Diese enthält </w:t>
      </w:r>
      <w:r w:rsidRPr="003D5CEB">
        <w:t>aus Sicht der Städte und Gemeinden praxisnahe Hinweise und Tipps für einen effizienten Insektenschutz</w:t>
      </w:r>
      <w:r>
        <w:t xml:space="preserve"> und trägt damit bereits den Belangen des Insektenschutzgesetzes Rechnung. Die Dokumentation kann u</w:t>
      </w:r>
      <w:r w:rsidRPr="003D5CEB">
        <w:t xml:space="preserve">nter </w:t>
      </w:r>
      <w:hyperlink r:id="rId21" w:history="1">
        <w:r w:rsidRPr="003D5CEB">
          <w:rPr>
            <w:rStyle w:val="Hyperlink"/>
          </w:rPr>
          <w:t>https://www.dstgb.de/aktuelles/archiv/archiv-2020/Insektenschutz%20in%20Kommunen/</w:t>
        </w:r>
      </w:hyperlink>
      <w:r w:rsidRPr="003D5CEB">
        <w:t xml:space="preserve"> </w:t>
      </w:r>
      <w:r>
        <w:t>herunter geladen werden</w:t>
      </w:r>
      <w:r w:rsidRPr="003D5CEB">
        <w:t>.</w:t>
      </w:r>
    </w:p>
    <w:p w14:paraId="558E4939" w14:textId="77777777" w:rsidR="00C1195D" w:rsidRDefault="00C1195D" w:rsidP="00C1195D">
      <w:pPr>
        <w:ind w:left="1418"/>
      </w:pPr>
    </w:p>
    <w:p w14:paraId="4E9BF130" w14:textId="77777777" w:rsidR="00C1195D" w:rsidRPr="00462805" w:rsidRDefault="00C1195D" w:rsidP="00C1195D">
      <w:pPr>
        <w:ind w:left="1418"/>
      </w:pPr>
      <w:r>
        <w:t>(III/2 810-01, Alexander Kramer, 07.07.2021)</w:t>
      </w:r>
    </w:p>
    <w:p w14:paraId="7B7F0801" w14:textId="77777777" w:rsidR="00C1195D" w:rsidRDefault="00C1195D" w:rsidP="00C1195D">
      <w:pPr>
        <w:ind w:left="1418"/>
      </w:pPr>
    </w:p>
    <w:p w14:paraId="53631888" w14:textId="77777777" w:rsidR="00C1195D" w:rsidRDefault="00C1195D" w:rsidP="00C1195D">
      <w:pPr>
        <w:ind w:left="1418"/>
      </w:pPr>
    </w:p>
    <w:p w14:paraId="1BB0F126" w14:textId="77777777" w:rsidR="00C1195D" w:rsidRDefault="00462B02" w:rsidP="00C1195D">
      <w:pPr>
        <w:jc w:val="right"/>
        <w:rPr>
          <w:rStyle w:val="Hyperlink"/>
          <w:b/>
          <w:sz w:val="18"/>
        </w:rPr>
      </w:pPr>
      <w:hyperlink r:id="rId22" w:anchor="_top" w:history="1">
        <w:r w:rsidR="00C1195D">
          <w:rPr>
            <w:rStyle w:val="Hyperlink"/>
            <w:b/>
            <w:sz w:val="18"/>
          </w:rPr>
          <w:t>Inhaltsverzeichnis</w:t>
        </w:r>
      </w:hyperlink>
    </w:p>
    <w:p w14:paraId="6E200D2D" w14:textId="77777777" w:rsidR="00C1195D" w:rsidRDefault="00C1195D" w:rsidP="00C1195D">
      <w:pPr>
        <w:jc w:val="right"/>
      </w:pPr>
    </w:p>
    <w:p w14:paraId="49B882D7" w14:textId="77777777" w:rsidR="00C1195D" w:rsidRDefault="00C1195D" w:rsidP="00C1195D">
      <w:pPr>
        <w:rPr>
          <w:b/>
          <w:sz w:val="40"/>
          <w:highlight w:val="lightGray"/>
        </w:rPr>
      </w:pPr>
      <w:r>
        <w:rPr>
          <w:bCs/>
        </w:rPr>
        <w:br w:type="page"/>
      </w:r>
      <w:r>
        <w:rPr>
          <w:b/>
          <w:sz w:val="40"/>
          <w:highlight w:val="lightGray"/>
        </w:rPr>
        <w:lastRenderedPageBreak/>
        <w:t>STÄDTEBAU, VERGABE UND UMWELT</w:t>
      </w:r>
    </w:p>
    <w:p w14:paraId="46804547" w14:textId="77777777" w:rsidR="00C1195D" w:rsidRDefault="00C1195D" w:rsidP="00C1195D">
      <w:pPr>
        <w:tabs>
          <w:tab w:val="left" w:pos="1418"/>
        </w:tabs>
        <w:rPr>
          <w:b/>
          <w:sz w:val="28"/>
          <w:szCs w:val="28"/>
        </w:rPr>
      </w:pPr>
    </w:p>
    <w:p w14:paraId="339A763A" w14:textId="740CF164" w:rsidR="00C1195D" w:rsidRPr="00462805" w:rsidRDefault="00C1195D" w:rsidP="00C1195D">
      <w:pPr>
        <w:pStyle w:val="2"/>
        <w:spacing w:before="0" w:after="0"/>
      </w:pPr>
      <w:bookmarkStart w:id="23" w:name="_Toc76732612"/>
      <w:r>
        <w:t>0921-</w:t>
      </w:r>
      <w:r w:rsidR="0088289E">
        <w:t>11</w:t>
      </w:r>
      <w:r>
        <w:tab/>
        <w:t xml:space="preserve">Neue </w:t>
      </w:r>
      <w:r w:rsidRPr="00575298">
        <w:t>Bundesförderung für effiziente Gebäude gestartet</w:t>
      </w:r>
      <w:bookmarkEnd w:id="23"/>
    </w:p>
    <w:p w14:paraId="47B65B33" w14:textId="77777777" w:rsidR="00C1195D" w:rsidRDefault="00C1195D" w:rsidP="00C1195D">
      <w:pPr>
        <w:ind w:left="1418"/>
        <w:rPr>
          <w:b/>
          <w:bCs/>
        </w:rPr>
      </w:pPr>
    </w:p>
    <w:p w14:paraId="39D57BFC" w14:textId="77777777" w:rsidR="00C1195D" w:rsidRPr="00575298" w:rsidRDefault="00C1195D" w:rsidP="00C1195D">
      <w:pPr>
        <w:ind w:left="1418"/>
        <w:jc w:val="both"/>
        <w:rPr>
          <w:b/>
          <w:bCs/>
        </w:rPr>
      </w:pPr>
      <w:r w:rsidRPr="00575298">
        <w:rPr>
          <w:b/>
          <w:bCs/>
        </w:rPr>
        <w:t xml:space="preserve">Am 01.07.2021 </w:t>
      </w:r>
      <w:r>
        <w:rPr>
          <w:b/>
          <w:bCs/>
        </w:rPr>
        <w:t>ist</w:t>
      </w:r>
      <w:r w:rsidRPr="00575298">
        <w:rPr>
          <w:b/>
          <w:bCs/>
        </w:rPr>
        <w:t xml:space="preserve"> die neue Bundesförderung effiziente Gebäude (BEG) bei der Kreditanstalt für Wiederaufbau (KfW)</w:t>
      </w:r>
      <w:r>
        <w:rPr>
          <w:b/>
          <w:bCs/>
        </w:rPr>
        <w:t xml:space="preserve"> angelaufen</w:t>
      </w:r>
      <w:r w:rsidRPr="00575298">
        <w:rPr>
          <w:b/>
          <w:bCs/>
        </w:rPr>
        <w:t>.</w:t>
      </w:r>
      <w:r>
        <w:rPr>
          <w:b/>
          <w:bCs/>
        </w:rPr>
        <w:t xml:space="preserve"> Von der Förderung können unter anderem kommunale Neubau- und Sanierungsvorhaben profitieren.</w:t>
      </w:r>
    </w:p>
    <w:p w14:paraId="4E023ED3" w14:textId="77777777" w:rsidR="00C1195D" w:rsidRDefault="00C1195D" w:rsidP="00C1195D">
      <w:pPr>
        <w:ind w:left="1418"/>
        <w:jc w:val="both"/>
      </w:pPr>
    </w:p>
    <w:p w14:paraId="4730FB0B" w14:textId="77777777" w:rsidR="00C1195D" w:rsidRPr="00575298" w:rsidRDefault="00C1195D" w:rsidP="00C1195D">
      <w:pPr>
        <w:ind w:left="1418"/>
        <w:jc w:val="both"/>
      </w:pPr>
      <w:r w:rsidRPr="00575298">
        <w:t xml:space="preserve">Durch die BEG werden die bisherigen Programme </w:t>
      </w:r>
      <w:r>
        <w:t xml:space="preserve">– </w:t>
      </w:r>
      <w:r w:rsidRPr="00575298">
        <w:t xml:space="preserve">darunter das CO2-Gebäudesanierungsprogramm (Programme Energieeffizient Bauen und Sanieren), das Programm zur Heizungsoptimierung (HZO), das Anreizprogramm Energieeffizient (APEE) und das Marktanreizprogramm zur Nutzung Erneuerbarer Energien im Wärmemarkt (MAP) </w:t>
      </w:r>
      <w:r>
        <w:t>–</w:t>
      </w:r>
      <w:r w:rsidRPr="00575298">
        <w:t xml:space="preserve"> in einem vereinfachten und optimierten Förderprogramm gebündelt. Seit dem 01.07.2021 können nunmehr für kommunale Neubau- und Sanierungsvorhaben direkt bei der KfW attraktivere Förderkredite mit Tilgungszuschüssen oder Zuschüssen beantragt werden. Dies gilt sowohl für Nichtwohngebäude als auch für kommunale Wohngebäude.</w:t>
      </w:r>
    </w:p>
    <w:p w14:paraId="3D1BBF65" w14:textId="77777777" w:rsidR="00C1195D" w:rsidRPr="00575298" w:rsidRDefault="00C1195D" w:rsidP="00C1195D">
      <w:pPr>
        <w:ind w:left="1418"/>
        <w:jc w:val="both"/>
      </w:pPr>
    </w:p>
    <w:p w14:paraId="6C8A5CD5" w14:textId="77777777" w:rsidR="00C1195D" w:rsidRPr="00575298" w:rsidRDefault="00C1195D" w:rsidP="00C1195D">
      <w:pPr>
        <w:ind w:left="1418"/>
        <w:jc w:val="both"/>
      </w:pPr>
      <w:r w:rsidRPr="00575298">
        <w:t>Zeitgleich wurde auch die Zuschussförderung von Brennstoffzellensystemen auf eine neue Förderrichtlinie umgestellt, wobei es keine wesentlichen Änderungen der Förderbedingungen oder im Antragsverfahren gibt. Die bisherigen Förderkredite für energieeffizientes Bauen und Sanieren (217/218) wurden geschlossen, sodass eine Antragstellung hier nicht mehr möglich ist.</w:t>
      </w:r>
    </w:p>
    <w:p w14:paraId="13183ABD" w14:textId="77777777" w:rsidR="00C1195D" w:rsidRPr="00575298" w:rsidRDefault="00C1195D" w:rsidP="00C1195D">
      <w:pPr>
        <w:ind w:left="1418"/>
        <w:jc w:val="both"/>
      </w:pPr>
    </w:p>
    <w:p w14:paraId="239212BE" w14:textId="77777777" w:rsidR="00C1195D" w:rsidRPr="00575298" w:rsidRDefault="00C1195D" w:rsidP="00C1195D">
      <w:pPr>
        <w:ind w:left="1418"/>
        <w:jc w:val="both"/>
      </w:pPr>
      <w:r w:rsidRPr="00575298">
        <w:t xml:space="preserve">Weitere Informationen finden Sie unter: </w:t>
      </w:r>
      <w:hyperlink r:id="rId23" w:history="1">
        <w:r w:rsidRPr="00575298">
          <w:rPr>
            <w:rStyle w:val="Hyperlink"/>
          </w:rPr>
          <w:t>www.kfw.de/264</w:t>
        </w:r>
      </w:hyperlink>
    </w:p>
    <w:p w14:paraId="35E5D1B3" w14:textId="77777777" w:rsidR="00C1195D" w:rsidRPr="00575298" w:rsidRDefault="00C1195D" w:rsidP="00C1195D">
      <w:pPr>
        <w:ind w:left="1418"/>
      </w:pPr>
    </w:p>
    <w:p w14:paraId="46457DAF" w14:textId="77777777" w:rsidR="00C1195D" w:rsidRPr="00575298" w:rsidRDefault="00C1195D" w:rsidP="00C1195D">
      <w:pPr>
        <w:ind w:left="1418"/>
      </w:pPr>
      <w:r w:rsidRPr="00575298">
        <w:t xml:space="preserve">(III/2 </w:t>
      </w:r>
      <w:r>
        <w:t>825-00,</w:t>
      </w:r>
      <w:r w:rsidRPr="00575298">
        <w:t xml:space="preserve"> Alexander Kramer, 02.07.2021)</w:t>
      </w:r>
    </w:p>
    <w:p w14:paraId="72F385B4" w14:textId="77777777" w:rsidR="00C1195D" w:rsidRPr="00462805" w:rsidRDefault="00C1195D" w:rsidP="00C1195D">
      <w:pPr>
        <w:ind w:left="1418"/>
      </w:pPr>
    </w:p>
    <w:p w14:paraId="75B5079C" w14:textId="77777777" w:rsidR="00C1195D" w:rsidRDefault="00C1195D" w:rsidP="00C1195D">
      <w:pPr>
        <w:ind w:left="1418"/>
      </w:pPr>
    </w:p>
    <w:p w14:paraId="3CF1E548" w14:textId="77777777" w:rsidR="00C1195D" w:rsidRDefault="00C1195D" w:rsidP="00C1195D">
      <w:pPr>
        <w:ind w:left="1418"/>
      </w:pPr>
    </w:p>
    <w:p w14:paraId="26F5CD81" w14:textId="77777777" w:rsidR="00C1195D" w:rsidRDefault="00462B02" w:rsidP="00C1195D">
      <w:pPr>
        <w:jc w:val="right"/>
        <w:rPr>
          <w:rStyle w:val="Hyperlink"/>
          <w:b/>
          <w:sz w:val="18"/>
        </w:rPr>
      </w:pPr>
      <w:hyperlink r:id="rId24" w:anchor="_top" w:history="1">
        <w:r w:rsidR="00C1195D">
          <w:rPr>
            <w:rStyle w:val="Hyperlink"/>
            <w:b/>
            <w:sz w:val="18"/>
          </w:rPr>
          <w:t>Inhaltsverzeichnis</w:t>
        </w:r>
      </w:hyperlink>
    </w:p>
    <w:p w14:paraId="3ED9993E" w14:textId="77777777" w:rsidR="00C1195D" w:rsidRDefault="00C1195D" w:rsidP="00C1195D">
      <w:pPr>
        <w:jc w:val="right"/>
      </w:pPr>
    </w:p>
    <w:p w14:paraId="33BD4670" w14:textId="760F6A1D" w:rsidR="00C1195D" w:rsidRDefault="00C1195D" w:rsidP="00C1195D">
      <w:pPr>
        <w:rPr>
          <w:b/>
          <w:sz w:val="28"/>
          <w:szCs w:val="28"/>
        </w:rPr>
      </w:pPr>
      <w:r>
        <w:rPr>
          <w:bCs/>
        </w:rPr>
        <w:br w:type="page"/>
      </w:r>
    </w:p>
    <w:p w14:paraId="6014454A" w14:textId="77777777" w:rsidR="00333DB1" w:rsidRPr="00547E93" w:rsidRDefault="00333DB1" w:rsidP="008E0157">
      <w:pPr>
        <w:pStyle w:val="berschrift1"/>
        <w:rPr>
          <w:b/>
        </w:rPr>
      </w:pPr>
      <w:bookmarkStart w:id="24" w:name="_Toc502842258"/>
      <w:bookmarkStart w:id="25" w:name="_Toc76732613"/>
      <w:r w:rsidRPr="00547E93">
        <w:rPr>
          <w:b/>
        </w:rPr>
        <w:lastRenderedPageBreak/>
        <w:t>WIRTSCHAFT UND VERKEHR</w:t>
      </w:r>
      <w:bookmarkEnd w:id="24"/>
      <w:bookmarkEnd w:id="25"/>
    </w:p>
    <w:p w14:paraId="04B30E17" w14:textId="77777777" w:rsidR="00333DB1" w:rsidRPr="00547E93" w:rsidRDefault="00333DB1" w:rsidP="00630EEA">
      <w:pPr>
        <w:tabs>
          <w:tab w:val="left" w:pos="1418"/>
        </w:tabs>
        <w:rPr>
          <w:b/>
          <w:sz w:val="28"/>
          <w:szCs w:val="28"/>
        </w:rPr>
      </w:pPr>
    </w:p>
    <w:p w14:paraId="6430328A" w14:textId="03568F74" w:rsidR="00C406A3" w:rsidRPr="006E6AC3" w:rsidRDefault="00C67E44" w:rsidP="00C406A3">
      <w:pPr>
        <w:pStyle w:val="2"/>
        <w:spacing w:before="0" w:after="0"/>
      </w:pPr>
      <w:bookmarkStart w:id="26" w:name="_Toc76732614"/>
      <w:r>
        <w:t>2721</w:t>
      </w:r>
      <w:r w:rsidR="00333DB1" w:rsidRPr="00547E93">
        <w:t>-</w:t>
      </w:r>
      <w:r w:rsidR="0088289E">
        <w:t>12</w:t>
      </w:r>
      <w:r w:rsidR="00333DB1" w:rsidRPr="00547E93">
        <w:tab/>
      </w:r>
      <w:r w:rsidR="00C406A3">
        <w:t>Städteinitiative Tempo 30</w:t>
      </w:r>
      <w:bookmarkEnd w:id="26"/>
    </w:p>
    <w:p w14:paraId="280FBC17" w14:textId="77777777" w:rsidR="00C406A3" w:rsidRPr="006E6AC3" w:rsidRDefault="00C406A3" w:rsidP="00C406A3">
      <w:pPr>
        <w:ind w:left="1418"/>
        <w:rPr>
          <w:b/>
          <w:bCs/>
        </w:rPr>
      </w:pPr>
    </w:p>
    <w:p w14:paraId="7EAF7DAB" w14:textId="77777777" w:rsidR="00C406A3" w:rsidRDefault="00C406A3" w:rsidP="00DD014D">
      <w:pPr>
        <w:ind w:left="1418"/>
        <w:jc w:val="both"/>
        <w:rPr>
          <w:b/>
        </w:rPr>
      </w:pPr>
      <w:r>
        <w:rPr>
          <w:b/>
        </w:rPr>
        <w:t xml:space="preserve">Eine Initiative mehrerer Städte spricht sich für erweiterte Handlungsspielräume bei der Anordnung von Tempo 30 innerorts sowie für Modellversuche einer stadtweiten Einführung von Tempo 30 aus. Hierbei wird betont, dass auch weiterhin höhere Geschwindigkeiten auf ausgewählten Straßenabschnitten gelten sollen. Die Initiative greift damit auch Forderungen der drei kommunalen Spitzenverbände im Rahmen des Bündnisses für moderne Mobilität auf. Dort fordert der DStGB zwar keine Regelumkehr, jedoch mehr kommunale Gestaltungsmöglichkeiten für reduzierte Geschwindigkeit innerorts sowie außerorts, um die Verkehrssicherheit und den Klimaschutz zu stärken und auch zur Reduzierung des Schilderwalds beizutragen. Wichtig ist aus Sicht des DStGB, dass stets die </w:t>
      </w:r>
      <w:r w:rsidRPr="007B3232">
        <w:rPr>
          <w:b/>
        </w:rPr>
        <w:t>Verkehrsverhältnisse vor Ort</w:t>
      </w:r>
      <w:r>
        <w:rPr>
          <w:b/>
        </w:rPr>
        <w:t xml:space="preserve"> maßgeblich sein müssen.</w:t>
      </w:r>
    </w:p>
    <w:p w14:paraId="2D74F59E" w14:textId="77777777" w:rsidR="00C406A3" w:rsidRPr="006E6AC3" w:rsidRDefault="00C406A3" w:rsidP="00DD014D">
      <w:pPr>
        <w:ind w:left="1418"/>
        <w:jc w:val="both"/>
        <w:rPr>
          <w:b/>
        </w:rPr>
      </w:pPr>
    </w:p>
    <w:p w14:paraId="7AFF88D5" w14:textId="77777777" w:rsidR="00C406A3" w:rsidRPr="006E6AC3" w:rsidRDefault="00C406A3" w:rsidP="00DD014D">
      <w:pPr>
        <w:ind w:left="1418"/>
        <w:jc w:val="both"/>
        <w:rPr>
          <w:b/>
          <w:bCs/>
        </w:rPr>
      </w:pPr>
      <w:r>
        <w:rPr>
          <w:b/>
          <w:bCs/>
        </w:rPr>
        <w:t>Städteinitiative fordert Änderung des Straßenrechts</w:t>
      </w:r>
    </w:p>
    <w:p w14:paraId="38315CCC" w14:textId="77777777" w:rsidR="00C406A3" w:rsidRPr="001761C9" w:rsidRDefault="00C406A3" w:rsidP="00DD014D">
      <w:pPr>
        <w:ind w:left="1418"/>
        <w:jc w:val="both"/>
      </w:pPr>
    </w:p>
    <w:p w14:paraId="58C1DD0B" w14:textId="57ADA520" w:rsidR="00C406A3" w:rsidRDefault="00C406A3" w:rsidP="00DD014D">
      <w:pPr>
        <w:ind w:left="1418"/>
        <w:jc w:val="both"/>
      </w:pPr>
      <w:r w:rsidRPr="001761C9">
        <w:t>Die Kernforderung der neuen Städteinititative, welche bislang die Städte Aachen, Augsburg, Freiburg, Hannover, Leipzig, Münster, Ulm, Bonn und Karlsruhe umfasst, ist „</w:t>
      </w:r>
      <w:r>
        <w:t xml:space="preserve">ein neuer straßenverkehrsrechtlicher Rahmen, der es ihnen ermöglicht, Tempo 30 als verkehrlich, sozial, ökologisch und baukulturell angemessene Höchstgeschwindigkeit dort anzuordnen, wo sie es für sinnvoll erachten </w:t>
      </w:r>
      <w:r w:rsidR="004725CE">
        <w:t>–</w:t>
      </w:r>
      <w:r>
        <w:t xml:space="preserve"> auch</w:t>
      </w:r>
      <w:r w:rsidR="004725CE">
        <w:t xml:space="preserve"> </w:t>
      </w:r>
      <w:r>
        <w:t>für ganze Straßenzüge im Hauptverkehrsstraßennetz und ggf. auch stadtweit als neue Regelhöchstgeschwindigkeit“.</w:t>
      </w:r>
    </w:p>
    <w:p w14:paraId="2049CE28" w14:textId="77777777" w:rsidR="00C406A3" w:rsidRDefault="00C406A3" w:rsidP="00DD014D">
      <w:pPr>
        <w:ind w:left="1418"/>
        <w:jc w:val="both"/>
      </w:pPr>
    </w:p>
    <w:p w14:paraId="4A76A23B" w14:textId="3B03C55D" w:rsidR="00C406A3" w:rsidRDefault="00C406A3" w:rsidP="00DD014D">
      <w:pPr>
        <w:spacing w:after="120"/>
        <w:ind w:left="1418"/>
        <w:jc w:val="both"/>
      </w:pPr>
      <w:r>
        <w:t xml:space="preserve">Die an der Initiative </w:t>
      </w:r>
      <w:r w:rsidR="002706B9">
        <w:t>beteiligten</w:t>
      </w:r>
      <w:r>
        <w:t xml:space="preserve"> Städte erklärten im Rahmen einer gemeinsamen Veranstaltung der Städte mit Agora Verkehrswende und dem Deutschen Städtetag:</w:t>
      </w:r>
    </w:p>
    <w:p w14:paraId="443A9922" w14:textId="77777777" w:rsidR="00C406A3" w:rsidRDefault="00C406A3" w:rsidP="0088289E">
      <w:pPr>
        <w:pStyle w:val="Listenabsatz"/>
        <w:numPr>
          <w:ilvl w:val="0"/>
          <w:numId w:val="3"/>
        </w:numPr>
        <w:spacing w:after="120"/>
        <w:ind w:left="1843" w:hanging="425"/>
        <w:jc w:val="both"/>
      </w:pPr>
      <w:r>
        <w:t>Wir bekennen uns zur Notwendigkeit der Mobilitäts- und Verkehrswende mit dem Ziel, die Lebensqualität in unseren Städten zu erhöhen.</w:t>
      </w:r>
    </w:p>
    <w:p w14:paraId="1711962E" w14:textId="77777777" w:rsidR="00C406A3" w:rsidRDefault="00C406A3" w:rsidP="0088289E">
      <w:pPr>
        <w:pStyle w:val="Listenabsatz"/>
        <w:numPr>
          <w:ilvl w:val="0"/>
          <w:numId w:val="3"/>
        </w:numPr>
        <w:spacing w:after="120"/>
        <w:ind w:left="1843" w:hanging="425"/>
        <w:jc w:val="both"/>
      </w:pPr>
      <w:r>
        <w:t>Wir sehen Tempo 30 für den Kraftfahrzeugverkehr auch auf Hauptverkehrsstraßen als integrierten Bestandteil eines nachhaltigen gesamtstädtischen Mobilitätskonzepts und einer Strategie zur Aufwertung der öffentlichen Räume.</w:t>
      </w:r>
    </w:p>
    <w:p w14:paraId="18BB1A9C" w14:textId="2DCE0D7D" w:rsidR="00C406A3" w:rsidRDefault="00C406A3" w:rsidP="0088289E">
      <w:pPr>
        <w:pStyle w:val="Listenabsatz"/>
        <w:numPr>
          <w:ilvl w:val="0"/>
          <w:numId w:val="3"/>
        </w:numPr>
        <w:spacing w:after="120"/>
        <w:ind w:left="1843" w:hanging="425"/>
        <w:jc w:val="both"/>
      </w:pPr>
      <w:r>
        <w:t xml:space="preserve">Wir fordern den Bund auf, umgehend die rechtlichen Voraussetzungen dafür zu </w:t>
      </w:r>
      <w:r w:rsidR="002706B9">
        <w:t>schaffen, dass</w:t>
      </w:r>
      <w:r>
        <w:t xml:space="preserve"> die Kommunen im Sinne der Resolution des Deutschen Bundestags vom 17.01.2020 ohne weitere Einschränkungen Tempo 30 als Höchstgeschwindigkeit innerorts dort anordnen können, wo sie es für notwendig halten.</w:t>
      </w:r>
    </w:p>
    <w:p w14:paraId="5CF8997A" w14:textId="77777777" w:rsidR="00C406A3" w:rsidRDefault="00C406A3" w:rsidP="0088289E">
      <w:pPr>
        <w:pStyle w:val="Listenabsatz"/>
        <w:numPr>
          <w:ilvl w:val="0"/>
          <w:numId w:val="3"/>
        </w:numPr>
        <w:spacing w:after="120"/>
        <w:ind w:left="1843" w:hanging="425"/>
        <w:jc w:val="both"/>
      </w:pPr>
      <w:r>
        <w:t xml:space="preserve">Wir begrüßen ein vom Bund gefördertes begleitendes Modellvorhaben, das wichtige Einzelaspekte im Zusammenhang mit dieser Neureglung vertieft untersuchen soll (u. a. zu den Auswirkungen auf den ÖPNV, zur Radverkehrssicherheit und zu den Auswirkungen auf das </w:t>
      </w:r>
      <w:r>
        <w:lastRenderedPageBreak/>
        <w:t>nachgeordnete Netz), um ggf. bei den Regelungen bzw. deren Anwendung nachsteuern zu können.</w:t>
      </w:r>
    </w:p>
    <w:p w14:paraId="67FFEBAE" w14:textId="77777777" w:rsidR="002706B9" w:rsidRDefault="002706B9" w:rsidP="00DD014D">
      <w:pPr>
        <w:ind w:left="1418"/>
        <w:jc w:val="both"/>
        <w:rPr>
          <w:b/>
          <w:bCs/>
        </w:rPr>
      </w:pPr>
    </w:p>
    <w:p w14:paraId="4750A680" w14:textId="0D895148" w:rsidR="00C406A3" w:rsidRPr="00E60B3C" w:rsidRDefault="00C406A3" w:rsidP="00DD014D">
      <w:pPr>
        <w:ind w:left="1418"/>
        <w:jc w:val="both"/>
        <w:rPr>
          <w:b/>
          <w:bCs/>
        </w:rPr>
      </w:pPr>
      <w:r>
        <w:rPr>
          <w:b/>
          <w:bCs/>
        </w:rPr>
        <w:t xml:space="preserve">Beschlüsse bereits im </w:t>
      </w:r>
      <w:r w:rsidRPr="00E60B3C">
        <w:rPr>
          <w:b/>
          <w:bCs/>
        </w:rPr>
        <w:t xml:space="preserve">Bundestag und </w:t>
      </w:r>
      <w:r>
        <w:rPr>
          <w:b/>
          <w:bCs/>
        </w:rPr>
        <w:t xml:space="preserve">der </w:t>
      </w:r>
      <w:r w:rsidRPr="00E60B3C">
        <w:rPr>
          <w:b/>
          <w:bCs/>
        </w:rPr>
        <w:t>Verkehrsministerkonferenz</w:t>
      </w:r>
    </w:p>
    <w:p w14:paraId="7C105EA7" w14:textId="77777777" w:rsidR="00C406A3" w:rsidRDefault="00C406A3" w:rsidP="00DD014D">
      <w:pPr>
        <w:ind w:left="1418"/>
        <w:jc w:val="both"/>
      </w:pPr>
    </w:p>
    <w:p w14:paraId="1B0C2AED" w14:textId="77777777" w:rsidR="00C406A3" w:rsidRDefault="00C406A3" w:rsidP="00DD014D">
      <w:pPr>
        <w:ind w:left="1418"/>
        <w:jc w:val="both"/>
      </w:pPr>
      <w:r>
        <w:t>Der Deutsche Bundestag hat am 17.01.2020 in seiner mit der Mehrheit der Koalitionsfraktionen angenommenen Entschließung „Sicherer Radverkehr für Vision Zero im Straßenverkehr“ einen Auftrag an den Bund formuliert, den Kommunen die Möglichkeit zu eröffnen, von der innerörtlichen Regelhöchstgeschwindigkeit von 50 km/h nach eigenem Ermessen auch auf Hauptverkehrsstraßen abzuweichen, wenn es den stadtpolitischen Zielen dient. So wird in der Entschließung u. a. gefordert, „es Kommunen durch eine Veränderung der gesetzlichen Vorgaben zu erleichtern, innerorts die Geschwindigkeitsbegrenzung von Tempo 30 km/h für ganze Straßen unabhängig von besonderen Gefahrensituationen anzuordnen“.</w:t>
      </w:r>
    </w:p>
    <w:p w14:paraId="3CD77C1F" w14:textId="77777777" w:rsidR="00C406A3" w:rsidRDefault="00C406A3" w:rsidP="00DD014D">
      <w:pPr>
        <w:ind w:left="1418"/>
        <w:jc w:val="both"/>
      </w:pPr>
    </w:p>
    <w:p w14:paraId="31C189AE" w14:textId="3BA49FAE" w:rsidR="00C406A3" w:rsidRDefault="00C406A3" w:rsidP="00DD014D">
      <w:pPr>
        <w:ind w:left="1418"/>
        <w:jc w:val="both"/>
      </w:pPr>
      <w:r>
        <w:t>Im Rahmen einer weiteren Entschließung „</w:t>
      </w:r>
      <w:r w:rsidRPr="007B395B">
        <w:t>Vision Zero – Unser Leitbild für die Verkehrssicherheit</w:t>
      </w:r>
      <w:r>
        <w:t>“ wurde die Bundesregierung u.</w:t>
      </w:r>
      <w:r w:rsidR="004725CE">
        <w:t xml:space="preserve"> </w:t>
      </w:r>
      <w:r>
        <w:t>a. aufgefordert „es Kommunen durch eine Veränderung der gesetzlichen Vorgaben zu erleichtern, innerorts die Geschwindigkeitsbegrenzung von Tempo 30 km/h für einzelne Straßen unabhängig von besonderen Gefahrensituationen anzuordnen, ohne dass es dabei zu flächendeckenden Tempo-30-km/h-Gebieten kommt“.</w:t>
      </w:r>
    </w:p>
    <w:p w14:paraId="68CB9892" w14:textId="77777777" w:rsidR="00C406A3" w:rsidRDefault="00C406A3" w:rsidP="00DD014D">
      <w:pPr>
        <w:ind w:left="1418"/>
        <w:jc w:val="both"/>
      </w:pPr>
    </w:p>
    <w:p w14:paraId="65A91A5D" w14:textId="77777777" w:rsidR="00C406A3" w:rsidRDefault="00C406A3" w:rsidP="00DD014D">
      <w:pPr>
        <w:ind w:left="1418"/>
        <w:jc w:val="both"/>
      </w:pPr>
      <w:r>
        <w:t>Die Verkehrsministerkonferenz der Länder (VMK) hat am 16.04.2021 zum Tagesordnungspunkt „Sicherheit und Attraktivität des Fußverkehrs“ den Bund einstimmig aufgefordert, die in einer Ad-Hoc-AG der VMK erarbeiteten Vorschläge „im Rahmen einer zeitnahen Novellierung des Rechtsrahmens, insbesondere von StVO, der VwV-StVO und Straßenverkehrsgesetz, in Abstimmung mit den Ländern ggf. zu berücksichtigen“. Zu diesen Vorschlägen gehört u. a. eine Ergänzung des § 39 StVO („Innerhalb geschlossener Ortschaften ist auch auf Vorfahrtsstraßen (Zeichen 306) mit einer zulässigen Höchstgeschwindigkeit von weniger als 50 km/h zu rechnen“) und ein Modellversuch zur Umkehrung der Regelgeschwindigkeit innerorts von 50 km/h auf 30 km/h.</w:t>
      </w:r>
    </w:p>
    <w:p w14:paraId="23654F42" w14:textId="77777777" w:rsidR="00C406A3" w:rsidRDefault="00C406A3" w:rsidP="00C406A3">
      <w:pPr>
        <w:ind w:left="1418"/>
      </w:pPr>
    </w:p>
    <w:p w14:paraId="009E58EB" w14:textId="77777777" w:rsidR="00C406A3" w:rsidRPr="00A0089D" w:rsidRDefault="00C406A3" w:rsidP="00C406A3">
      <w:pPr>
        <w:ind w:left="1418"/>
      </w:pPr>
      <w:r>
        <w:rPr>
          <w:b/>
          <w:bCs/>
        </w:rPr>
        <w:t xml:space="preserve">Diskussion im Rahmen des </w:t>
      </w:r>
      <w:r w:rsidRPr="00A0089D">
        <w:rPr>
          <w:b/>
          <w:bCs/>
        </w:rPr>
        <w:t>B</w:t>
      </w:r>
      <w:r>
        <w:rPr>
          <w:b/>
          <w:bCs/>
        </w:rPr>
        <w:t xml:space="preserve">ündnisses für moderne Mobilität </w:t>
      </w:r>
    </w:p>
    <w:p w14:paraId="55C5DCDA" w14:textId="77777777" w:rsidR="00C406A3" w:rsidRDefault="00C406A3" w:rsidP="00C406A3">
      <w:pPr>
        <w:ind w:left="1418"/>
      </w:pPr>
    </w:p>
    <w:p w14:paraId="22B67ADA" w14:textId="6BE4813C" w:rsidR="00C406A3" w:rsidRDefault="00C406A3" w:rsidP="00DD014D">
      <w:pPr>
        <w:ind w:left="1418"/>
        <w:jc w:val="both"/>
      </w:pPr>
      <w:r>
        <w:t>Eine intensive Diskussion zu erweiterten Handlungsmöglichkeiten für niedrigere Geschwindigkeiten wird auch im Rahmen des Bündnisses für moderne Mobilität zwischen Bund, Ländern und Kommunen geführt. Hierzu zählen insbesondere die Veränderung der gesetzlichen Vorgaben zur erleichterten Anordnung einer Geschwindigkeitsbegrenzung von Tempo 30 km/h für einzelne Straßen innerorts, unabhängig von besonderen Gefahrensituationen. Teile der Länder sehen jedoch bislang keinen Handlungsbedarf für die von den kommunalen Spitzenverbänden vorgeschlagene Erweiterung der kommunalen Handlungsspielräume bei der Anordnung von Geschwindigkeitsbegrenzungen. Sie verweisen da</w:t>
      </w:r>
      <w:r>
        <w:lastRenderedPageBreak/>
        <w:t xml:space="preserve">rauf, dass abseits von Hauptverkehrsstraßen Geschwindigkeitsbeschränkungen schon nach geltendem Recht ohne den Nachweis einer besonderen Gefahrenlage nach § 45 Abs. 9 StVO angeordnet werden können (Tempo 30-Zonen, Fahrradzonen, Fahrradstraßen, verkehrsberuhigte Bereiche usw.). Zudem ist es möglich, Geschwindigkeitsbeschränkungen aus Lärmschutzgründen oder Tempo 30 im Nahbereich sozialer Einrichtungen anzuordnen </w:t>
      </w:r>
      <w:r w:rsidR="004725CE">
        <w:t>–</w:t>
      </w:r>
      <w:r>
        <w:t xml:space="preserve"> beides</w:t>
      </w:r>
      <w:r w:rsidR="004725CE">
        <w:t xml:space="preserve"> </w:t>
      </w:r>
      <w:r>
        <w:t>ebenfalls unabhängig vom Unfallgeschehen, bezogen auf konkrete Abschnitte von Straßen, in denen die Voraussetzungen vorliegen. Vor dem Hintergrund der Stärkung der Verkehrssicherheit und des Klimaschutzes hat sich der Bund jedoch offen gezeigt, Handlungsoptionen zu prüfen.</w:t>
      </w:r>
    </w:p>
    <w:p w14:paraId="4D93D277" w14:textId="77777777" w:rsidR="00C406A3" w:rsidRDefault="00C406A3" w:rsidP="00C406A3">
      <w:pPr>
        <w:ind w:left="1418"/>
      </w:pPr>
    </w:p>
    <w:p w14:paraId="3AFDEDD5" w14:textId="77777777" w:rsidR="00C406A3" w:rsidRPr="006E6AC3" w:rsidRDefault="00C406A3" w:rsidP="00DD014D">
      <w:pPr>
        <w:ind w:left="1418"/>
        <w:jc w:val="both"/>
        <w:rPr>
          <w:b/>
          <w:bCs/>
        </w:rPr>
      </w:pPr>
      <w:r>
        <w:rPr>
          <w:b/>
          <w:bCs/>
        </w:rPr>
        <w:t>Anmerkung des DStGB</w:t>
      </w:r>
    </w:p>
    <w:p w14:paraId="3A99CC9C" w14:textId="77777777" w:rsidR="00C406A3" w:rsidRDefault="00C406A3" w:rsidP="00DD014D">
      <w:pPr>
        <w:ind w:left="1418"/>
        <w:jc w:val="both"/>
      </w:pPr>
    </w:p>
    <w:p w14:paraId="394B5A68" w14:textId="77777777" w:rsidR="00C406A3" w:rsidRDefault="00C406A3" w:rsidP="00DD014D">
      <w:pPr>
        <w:ind w:left="1418"/>
        <w:jc w:val="both"/>
      </w:pPr>
      <w:r>
        <w:t>Der gemeinsame Bericht des Bündnisses für moderne Mobilität betont auch, dass die gefahrene Geschwindigkeit von Kraftfahrzeugen ausschlaggebend für Anzahl und Schwere von Sach- und Personenschäden ist. Sie ist zudem maßgeblich für das Sicherheitsempfinden insbesondere von Radfahrenden und Zufußgehenden und entfaltet erhebliche räumliche und funktionale Trennwirkungen.</w:t>
      </w:r>
    </w:p>
    <w:p w14:paraId="1AD82A8A" w14:textId="77777777" w:rsidR="00C406A3" w:rsidRDefault="00C406A3" w:rsidP="00DD014D">
      <w:pPr>
        <w:ind w:left="1418"/>
        <w:jc w:val="both"/>
      </w:pPr>
    </w:p>
    <w:p w14:paraId="71E4B30B" w14:textId="77777777" w:rsidR="00C406A3" w:rsidRDefault="00C406A3" w:rsidP="00DD014D">
      <w:pPr>
        <w:ind w:left="1418"/>
        <w:jc w:val="both"/>
      </w:pPr>
      <w:r w:rsidRPr="007B3232">
        <w:t xml:space="preserve">Die Anordnungsbefugnisse zu Geschwindigkeitsbeschränkungen aus Gründen der Verkehrssicherheit und zum Schutz der Umwelt sind </w:t>
      </w:r>
      <w:r>
        <w:t xml:space="preserve">aus Sicht des DStGB bislang zu </w:t>
      </w:r>
      <w:r w:rsidRPr="007B3232">
        <w:t>kleinteilig zu begründen und untereinander unabgestimmt. D</w:t>
      </w:r>
      <w:r>
        <w:t xml:space="preserve">ies </w:t>
      </w:r>
      <w:r w:rsidRPr="007B3232">
        <w:t>führt zu einem Flickenteppich von Einzelanordnungen und Beschilderungen, beispielsweise für Tempo-30-Abschnitte an Hauptverkehrsstraßen. Für die Verstetigung des Verkehrs sollte das Geschwindigkeitsniveau je nach lokalen Erfordernissen möglichst konstant gehalten werden und durch die Straßenverkehrsbehörden angeordnet werden können. Hierzu solle</w:t>
      </w:r>
      <w:r>
        <w:t>n auch aus Sicht des DStGB</w:t>
      </w:r>
      <w:r w:rsidRPr="007B3232">
        <w:t xml:space="preserve"> die Möglichkeiten zur Verbindung von Einzelanordnungen zu längeren Abschnitten mit gleichem Geschwindigkeitsniveau erweitert werden. Ampelsteuerung oder elektronische Verkehrsleit- und Anzeigesysteme sollten sich auch unter Berücksichtigung der Belange Umweltschutz, Lebensqualität und Verkehrssicherheit angemessenen Geschwindigkeiten und nicht an der Höchstgeschwindigkeit (z. B. innerorts 50 km/h) orientieren können. </w:t>
      </w:r>
      <w:r>
        <w:t>Wichtig bleiben daneben Aspekte der verkehrlichen Erreichbarkeit, die Verhinderung von Ausweichverkehren in das Nebenstraßennetz als auch die Bewältigung von ÖV- und Logistikverkehren in und aus den Städten.</w:t>
      </w:r>
    </w:p>
    <w:p w14:paraId="6DB58EB3" w14:textId="77777777" w:rsidR="00C406A3" w:rsidRDefault="00C406A3" w:rsidP="00C406A3">
      <w:pPr>
        <w:ind w:left="1418"/>
      </w:pPr>
    </w:p>
    <w:p w14:paraId="693063D5" w14:textId="383ECAAA" w:rsidR="00C406A3" w:rsidRDefault="00C406A3" w:rsidP="00DD014D">
      <w:pPr>
        <w:ind w:left="1418"/>
        <w:jc w:val="both"/>
      </w:pPr>
      <w:r w:rsidRPr="007B3232">
        <w:t>Der DStGB</w:t>
      </w:r>
      <w:r>
        <w:t xml:space="preserve"> begrüßt insofern die Städteinitiative grundsätzlich und das das Ansinnen, den kommunalen Handlungsspielraum für die Anordnung von Höchstgeschwindigkeiten zu erweitern. Der DStGB </w:t>
      </w:r>
      <w:r w:rsidRPr="007B3232">
        <w:t>plädiert hierbei</w:t>
      </w:r>
      <w:r>
        <w:t xml:space="preserve"> klar </w:t>
      </w:r>
      <w:r w:rsidRPr="007B3232">
        <w:t>für weitgehende Kann-Regelungen, die den Kommunen mehr Gestaltungsspielräume ermöglichen, jedoch stets entsprechend der Verkehrsverhältnisse vor Ort zu entscheiden sind.</w:t>
      </w:r>
      <w:r>
        <w:t xml:space="preserve"> Somit könnte auch das bewährte Prinzip der </w:t>
      </w:r>
      <w:r w:rsidR="002706B9">
        <w:t>Subsidiarität</w:t>
      </w:r>
      <w:r>
        <w:t xml:space="preserve"> im Verkehrsrecht stärker zur Geltung kommen.</w:t>
      </w:r>
    </w:p>
    <w:p w14:paraId="0072D77F" w14:textId="77777777" w:rsidR="00DD014D" w:rsidRDefault="00DD014D">
      <w:r>
        <w:br w:type="page"/>
      </w:r>
    </w:p>
    <w:p w14:paraId="50C1D2F1" w14:textId="77777777" w:rsidR="00C406A3" w:rsidRPr="006E6AC3" w:rsidRDefault="00C406A3" w:rsidP="00C406A3">
      <w:pPr>
        <w:ind w:left="1418"/>
      </w:pPr>
    </w:p>
    <w:p w14:paraId="36C63D0C" w14:textId="77777777" w:rsidR="00C406A3" w:rsidRPr="006E6AC3" w:rsidRDefault="00C406A3" w:rsidP="00C406A3">
      <w:pPr>
        <w:ind w:left="1418"/>
        <w:rPr>
          <w:b/>
          <w:bCs/>
        </w:rPr>
      </w:pPr>
      <w:r w:rsidRPr="006E6AC3">
        <w:rPr>
          <w:b/>
          <w:bCs/>
        </w:rPr>
        <w:t>Weitere Informationen</w:t>
      </w:r>
    </w:p>
    <w:p w14:paraId="6E20BDF6" w14:textId="77777777" w:rsidR="00C406A3" w:rsidRPr="006E6AC3" w:rsidRDefault="00C406A3" w:rsidP="00C406A3">
      <w:pPr>
        <w:ind w:left="1418"/>
      </w:pPr>
    </w:p>
    <w:p w14:paraId="792486F1" w14:textId="77777777" w:rsidR="00C406A3" w:rsidRDefault="00C406A3" w:rsidP="00C406A3">
      <w:pPr>
        <w:ind w:left="1418"/>
      </w:pPr>
      <w:r>
        <w:t xml:space="preserve">Positionspapier der Städteinitiative: </w:t>
      </w:r>
      <w:hyperlink r:id="rId25" w:history="1">
        <w:r w:rsidRPr="0068652D">
          <w:rPr>
            <w:rStyle w:val="Hyperlink"/>
          </w:rPr>
          <w:t>https://www.agora-verkehrswende.de/fileadmin/Projekte/2021/T30/Positionspapier__Staedteinitiative_Tempo30_050721_oU.pdf</w:t>
        </w:r>
      </w:hyperlink>
      <w:r>
        <w:t xml:space="preserve"> </w:t>
      </w:r>
    </w:p>
    <w:p w14:paraId="0959C011" w14:textId="77777777" w:rsidR="00C406A3" w:rsidRDefault="00C406A3" w:rsidP="00C406A3">
      <w:pPr>
        <w:ind w:left="1418"/>
      </w:pPr>
    </w:p>
    <w:p w14:paraId="532A1109" w14:textId="77777777" w:rsidR="00C406A3" w:rsidRDefault="00C406A3" w:rsidP="00C406A3">
      <w:pPr>
        <w:ind w:left="1418"/>
      </w:pPr>
      <w:r>
        <w:t xml:space="preserve">Bericht des Bündnisses für moderne Mobilität auf der Webseite des DStGB: </w:t>
      </w:r>
      <w:hyperlink r:id="rId26" w:history="1">
        <w:r w:rsidRPr="00BC7EB8">
          <w:rPr>
            <w:rStyle w:val="Hyperlink"/>
          </w:rPr>
          <w:t>https://www.dstgb.de/themen/mobilitaet/aktuelles/high-level-meeting-des-buendnisses-fuer-moderne-mobilitaet/</w:t>
        </w:r>
      </w:hyperlink>
      <w:r>
        <w:t xml:space="preserve"> </w:t>
      </w:r>
    </w:p>
    <w:p w14:paraId="0FDC5D57" w14:textId="77777777" w:rsidR="00C406A3" w:rsidRDefault="00C406A3" w:rsidP="00C406A3">
      <w:pPr>
        <w:ind w:left="1418"/>
      </w:pPr>
    </w:p>
    <w:p w14:paraId="13F588A2" w14:textId="77777777" w:rsidR="00C406A3" w:rsidRPr="00174EA2" w:rsidRDefault="00C406A3" w:rsidP="00C406A3">
      <w:pPr>
        <w:ind w:left="1418"/>
      </w:pPr>
      <w:r w:rsidRPr="006E6AC3">
        <w:t>(IV/2</w:t>
      </w:r>
      <w:r>
        <w:t xml:space="preserve"> 721-11</w:t>
      </w:r>
      <w:r w:rsidRPr="006E6AC3">
        <w:t>, Jan Strehmann,</w:t>
      </w:r>
      <w:r>
        <w:t xml:space="preserve"> 07.07.2021</w:t>
      </w:r>
      <w:r w:rsidRPr="006E6AC3">
        <w:t>)</w:t>
      </w:r>
    </w:p>
    <w:p w14:paraId="4D8760E7" w14:textId="77777777" w:rsidR="008E50C8" w:rsidRDefault="008E50C8" w:rsidP="008E50C8">
      <w:pPr>
        <w:ind w:left="1418"/>
      </w:pPr>
    </w:p>
    <w:p w14:paraId="5D9D64A5" w14:textId="77777777" w:rsidR="008E50C8" w:rsidRPr="00004857" w:rsidRDefault="008E50C8" w:rsidP="008E50C8">
      <w:pPr>
        <w:ind w:left="1418"/>
      </w:pPr>
    </w:p>
    <w:p w14:paraId="7A2AE8E7" w14:textId="77777777" w:rsidR="00FB5ACF" w:rsidRDefault="00FB5ACF" w:rsidP="00FB5ACF">
      <w:pPr>
        <w:ind w:left="1418"/>
      </w:pPr>
    </w:p>
    <w:p w14:paraId="5B35D363" w14:textId="77777777" w:rsidR="0028439B" w:rsidRPr="0028439B" w:rsidRDefault="00462B02" w:rsidP="0028439B">
      <w:pPr>
        <w:jc w:val="right"/>
        <w:rPr>
          <w:b/>
          <w:sz w:val="18"/>
        </w:rPr>
      </w:pPr>
      <w:hyperlink w:anchor="_top" w:history="1">
        <w:r w:rsidR="0028439B" w:rsidRPr="0028439B">
          <w:rPr>
            <w:rStyle w:val="Hyperlink"/>
            <w:b/>
            <w:color w:val="auto"/>
            <w:sz w:val="18"/>
          </w:rPr>
          <w:t>Inhaltsverzeichnis</w:t>
        </w:r>
      </w:hyperlink>
    </w:p>
    <w:p w14:paraId="3AFB6557" w14:textId="77777777" w:rsidR="00547626" w:rsidRDefault="00547626">
      <w:pPr>
        <w:rPr>
          <w:bCs/>
        </w:rPr>
      </w:pPr>
      <w:r>
        <w:rPr>
          <w:bCs/>
        </w:rPr>
        <w:br w:type="page"/>
      </w:r>
    </w:p>
    <w:p w14:paraId="596B956B" w14:textId="77777777" w:rsidR="00547626" w:rsidRPr="00D64B28" w:rsidRDefault="00547626" w:rsidP="00547626">
      <w:pPr>
        <w:rPr>
          <w:b/>
          <w:sz w:val="40"/>
          <w:highlight w:val="lightGray"/>
        </w:rPr>
      </w:pPr>
      <w:r>
        <w:rPr>
          <w:b/>
          <w:sz w:val="40"/>
          <w:highlight w:val="lightGray"/>
        </w:rPr>
        <w:lastRenderedPageBreak/>
        <w:t>WIRTSCHAFT UND VERKEHR</w:t>
      </w:r>
    </w:p>
    <w:p w14:paraId="0F500968" w14:textId="77777777" w:rsidR="00547626" w:rsidRPr="00547E93" w:rsidRDefault="00547626" w:rsidP="00547626">
      <w:pPr>
        <w:tabs>
          <w:tab w:val="left" w:pos="1418"/>
        </w:tabs>
        <w:rPr>
          <w:b/>
          <w:sz w:val="28"/>
          <w:szCs w:val="28"/>
        </w:rPr>
      </w:pPr>
    </w:p>
    <w:p w14:paraId="0C85A4F7" w14:textId="16A7F497" w:rsidR="00C406A3" w:rsidRPr="006E6AC3" w:rsidRDefault="00C67E44" w:rsidP="00C406A3">
      <w:pPr>
        <w:pStyle w:val="2"/>
        <w:spacing w:before="0" w:after="0"/>
      </w:pPr>
      <w:bookmarkStart w:id="27" w:name="_Toc76732615"/>
      <w:r>
        <w:t>2721</w:t>
      </w:r>
      <w:r w:rsidR="0033725F" w:rsidRPr="00FC4977">
        <w:t>-</w:t>
      </w:r>
      <w:r w:rsidR="0088289E">
        <w:t>13</w:t>
      </w:r>
      <w:r w:rsidR="0033725F" w:rsidRPr="00FC4977">
        <w:tab/>
      </w:r>
      <w:r w:rsidR="00C406A3">
        <w:t>Verkehrsunfallstatistik 2020</w:t>
      </w:r>
      <w:bookmarkEnd w:id="27"/>
    </w:p>
    <w:p w14:paraId="7E164476" w14:textId="77777777" w:rsidR="00C406A3" w:rsidRPr="006E6AC3" w:rsidRDefault="00C406A3" w:rsidP="00C406A3">
      <w:pPr>
        <w:ind w:left="1418"/>
        <w:rPr>
          <w:b/>
          <w:bCs/>
        </w:rPr>
      </w:pPr>
    </w:p>
    <w:p w14:paraId="374D4D91" w14:textId="26F60608" w:rsidR="00C406A3" w:rsidRDefault="00C406A3" w:rsidP="00DD014D">
      <w:pPr>
        <w:ind w:left="1418"/>
        <w:jc w:val="both"/>
        <w:rPr>
          <w:b/>
        </w:rPr>
      </w:pPr>
      <w:r w:rsidRPr="00F74F39">
        <w:rPr>
          <w:b/>
        </w:rPr>
        <w:t xml:space="preserve">Das </w:t>
      </w:r>
      <w:r w:rsidR="002706B9" w:rsidRPr="00F74F39">
        <w:rPr>
          <w:b/>
        </w:rPr>
        <w:t>Corona</w:t>
      </w:r>
      <w:r w:rsidR="002706B9">
        <w:rPr>
          <w:b/>
        </w:rPr>
        <w:t>-</w:t>
      </w:r>
      <w:r w:rsidR="002706B9" w:rsidRPr="00F74F39">
        <w:rPr>
          <w:b/>
        </w:rPr>
        <w:t>bedingt</w:t>
      </w:r>
      <w:r w:rsidRPr="00F74F39">
        <w:rPr>
          <w:b/>
        </w:rPr>
        <w:t xml:space="preserve"> geringere Verkehrsaufkommen im Jahr 2020 hat sich deutlich auf das Unfallgeschehen im Straßenverkehr ausgewirkt: Nach Ergebnissen des Statistischen Bundesamtes (Destatis) nahm die Polizei 2020 bundesweit insgesamt gut 2,2 Millionen Verkehrsunfälle auf. Das waren 16,4 % weniger als 2019. </w:t>
      </w:r>
      <w:r>
        <w:rPr>
          <w:b/>
        </w:rPr>
        <w:t>Bei</w:t>
      </w:r>
      <w:r w:rsidRPr="00F74F39">
        <w:rPr>
          <w:b/>
        </w:rPr>
        <w:t xml:space="preserve"> rund 264</w:t>
      </w:r>
      <w:r>
        <w:rPr>
          <w:b/>
        </w:rPr>
        <w:t>.</w:t>
      </w:r>
      <w:r w:rsidRPr="00F74F39">
        <w:rPr>
          <w:b/>
        </w:rPr>
        <w:t>000 Verkehrsunfällen wurden Menschen verletzt oder getötet.</w:t>
      </w:r>
      <w:r>
        <w:rPr>
          <w:b/>
        </w:rPr>
        <w:t xml:space="preserve"> Aus Sicht des DStGB bedarf es u.a. einer weiteren Förderung des Infrastrukturumbaus in den Kommunen für sichere Nahmobilität.</w:t>
      </w:r>
      <w:r w:rsidRPr="00F74F39">
        <w:rPr>
          <w:b/>
        </w:rPr>
        <w:t xml:space="preserve"> </w:t>
      </w:r>
    </w:p>
    <w:p w14:paraId="2BA58054" w14:textId="77777777" w:rsidR="00C406A3" w:rsidRPr="006E6AC3" w:rsidRDefault="00C406A3" w:rsidP="00DD014D">
      <w:pPr>
        <w:ind w:left="1418"/>
        <w:jc w:val="both"/>
        <w:rPr>
          <w:b/>
        </w:rPr>
      </w:pPr>
    </w:p>
    <w:p w14:paraId="0738E964" w14:textId="77777777" w:rsidR="00C406A3" w:rsidRDefault="00C406A3" w:rsidP="00DD014D">
      <w:pPr>
        <w:ind w:left="1418"/>
        <w:jc w:val="both"/>
        <w:rPr>
          <w:b/>
          <w:bCs/>
        </w:rPr>
      </w:pPr>
      <w:r>
        <w:rPr>
          <w:b/>
          <w:bCs/>
        </w:rPr>
        <w:t>Zahl der Verkehrstoten gesunken</w:t>
      </w:r>
    </w:p>
    <w:p w14:paraId="2D5E50C2" w14:textId="77777777" w:rsidR="00C406A3" w:rsidRPr="006E6AC3" w:rsidRDefault="00C406A3" w:rsidP="00DD014D">
      <w:pPr>
        <w:ind w:left="1418"/>
        <w:jc w:val="both"/>
      </w:pPr>
    </w:p>
    <w:p w14:paraId="164CFB7F" w14:textId="668E7E6C" w:rsidR="00C406A3" w:rsidRDefault="00C406A3" w:rsidP="00DD014D">
      <w:pPr>
        <w:ind w:left="1418"/>
        <w:jc w:val="both"/>
      </w:pPr>
      <w:r>
        <w:t>2719 Menschen sind im Jahr 2020 bei Verkehrsunfällen gestorben. Das waren 327 Verkehrstote oder 10,7 % weniger als im Jahr davor. Die Zahl der Verletzten ging gegenüber dem Vorjahr um 14,8 % auf 327</w:t>
      </w:r>
      <w:r w:rsidR="00DD014D">
        <w:t> </w:t>
      </w:r>
      <w:r>
        <w:t xml:space="preserve">550 zurück. Damit sank die Zahl der Verkehrstoten und Verletzten auf den tiefsten Stand seit mehr als 60 Jahren. Dennoch sind dies durchschnittlich etwa 6135 polizeilich erfasste Verkehrsunfälle, knapp 900 Verletzte und sieben Todesopfer pro Tag im Straßenverkehr. </w:t>
      </w:r>
    </w:p>
    <w:p w14:paraId="2258E286" w14:textId="77777777" w:rsidR="00C406A3" w:rsidRDefault="00C406A3" w:rsidP="00DD014D">
      <w:pPr>
        <w:ind w:left="1418"/>
        <w:jc w:val="both"/>
      </w:pPr>
    </w:p>
    <w:p w14:paraId="46F6E8AD" w14:textId="14170376" w:rsidR="00C406A3" w:rsidRPr="00F74F39" w:rsidRDefault="004725CE" w:rsidP="00DD014D">
      <w:pPr>
        <w:ind w:left="1418"/>
        <w:jc w:val="both"/>
        <w:rPr>
          <w:b/>
          <w:bCs/>
        </w:rPr>
      </w:pPr>
      <w:r>
        <w:rPr>
          <w:b/>
          <w:bCs/>
        </w:rPr>
        <w:t>43 Prozent</w:t>
      </w:r>
      <w:r w:rsidR="00C406A3" w:rsidRPr="00F74F39">
        <w:rPr>
          <w:b/>
          <w:bCs/>
        </w:rPr>
        <w:t xml:space="preserve"> der Verkehrstoten verunglückten mit dem Pkw</w:t>
      </w:r>
    </w:p>
    <w:p w14:paraId="0948FEF5" w14:textId="77777777" w:rsidR="00C406A3" w:rsidRDefault="00C406A3" w:rsidP="00DD014D">
      <w:pPr>
        <w:ind w:left="1418"/>
        <w:jc w:val="both"/>
      </w:pPr>
    </w:p>
    <w:p w14:paraId="5069A2C4" w14:textId="0394F058" w:rsidR="00C406A3" w:rsidRDefault="00C406A3" w:rsidP="00DD014D">
      <w:pPr>
        <w:ind w:left="1418"/>
        <w:jc w:val="both"/>
      </w:pPr>
      <w:r>
        <w:t>1170 Personen kamen im Jahr 2020 in einem Pkw ums Leben, das waren 43,0 % aller Verkehrstoten. 499 Menschen verunglückten auf einem Kraftrad mit amtlichem Kennzeichen wie Motorrädern und -rollern tödlich (18,4 % aller Verkehrstoten), 426 mit dem Fahrrad und 376 zu Fuß (15,7</w:t>
      </w:r>
      <w:r w:rsidR="002706B9">
        <w:t> </w:t>
      </w:r>
      <w:r>
        <w:t xml:space="preserve">% bzw. 13,8 %). </w:t>
      </w:r>
    </w:p>
    <w:p w14:paraId="7F962805" w14:textId="77777777" w:rsidR="00C406A3" w:rsidRDefault="00C406A3" w:rsidP="00DD014D">
      <w:pPr>
        <w:ind w:left="1418"/>
        <w:jc w:val="both"/>
      </w:pPr>
    </w:p>
    <w:p w14:paraId="3E8A3A75" w14:textId="31B5D21F" w:rsidR="00C406A3" w:rsidRDefault="00C406A3" w:rsidP="00DD014D">
      <w:pPr>
        <w:ind w:left="1418"/>
        <w:jc w:val="both"/>
      </w:pPr>
      <w:r>
        <w:t>Gegenüber 2019 ist die Zahl der Verkehrstoten insbesondere bei Pkw-Insassen mit -14,2 % überdurchschnittlich zurückgegangen. Bei Menschen, die zu Fuß oder auf einem Kraftrad mit amtlichen Kennzeichen ums Leben kamen, fielen die Rückgänge mit 9,8 % beziehungsweise 7,9</w:t>
      </w:r>
      <w:r w:rsidR="002706B9">
        <w:t> </w:t>
      </w:r>
      <w:r>
        <w:t xml:space="preserve">% deutlich geringer aus. Den geringsten Rückgang verzeichnete die Zahl der getöteten Fahrradfahrenden mit 4,3 %. </w:t>
      </w:r>
    </w:p>
    <w:p w14:paraId="57F1710C" w14:textId="77777777" w:rsidR="00C406A3" w:rsidRDefault="00C406A3" w:rsidP="00C406A3">
      <w:pPr>
        <w:ind w:left="1418"/>
      </w:pPr>
    </w:p>
    <w:p w14:paraId="648AAB54" w14:textId="054E7C80" w:rsidR="00C406A3" w:rsidRPr="00F74F39" w:rsidRDefault="004725CE" w:rsidP="00C406A3">
      <w:pPr>
        <w:ind w:left="1418"/>
        <w:rPr>
          <w:b/>
          <w:bCs/>
        </w:rPr>
      </w:pPr>
      <w:r>
        <w:rPr>
          <w:b/>
          <w:bCs/>
        </w:rPr>
        <w:t>58,6 Prozent</w:t>
      </w:r>
      <w:r w:rsidR="00C406A3" w:rsidRPr="00F74F39">
        <w:rPr>
          <w:b/>
          <w:bCs/>
        </w:rPr>
        <w:t xml:space="preserve"> der Verkehrstoten bei Unfällen auf Landstraßen</w:t>
      </w:r>
    </w:p>
    <w:p w14:paraId="36DBAAC7" w14:textId="77777777" w:rsidR="00C406A3" w:rsidRDefault="00C406A3" w:rsidP="00C406A3">
      <w:pPr>
        <w:ind w:left="1418"/>
      </w:pPr>
    </w:p>
    <w:p w14:paraId="24337866" w14:textId="7BC3F418" w:rsidR="00C406A3" w:rsidRDefault="00C406A3" w:rsidP="00DD014D">
      <w:pPr>
        <w:ind w:left="1418"/>
        <w:jc w:val="both"/>
      </w:pPr>
      <w:r>
        <w:t>Die meisten Unfälle mit Personenschaden ereigneten sich 2020 mit 69,3</w:t>
      </w:r>
      <w:r w:rsidR="002706B9">
        <w:t> </w:t>
      </w:r>
      <w:r>
        <w:t xml:space="preserve">% innerhalb von Ortschaften, daneben 24,9 % auf Landstraßen und 5,8 % auf Autobahnen. Allerdings haben Unfälle auf den Straßen außerhalb von Ortschaften unter anderem wegen der höheren Fahrgeschwindigkeiten oft schlimmere Folgen als auf Straßen innerorts. Auf Landstraßen kommen weitere Risikofaktoren wie die fehlende Trennung zum Gegenverkehr, schlechte Überholmöglichkeiten, Kreuzungen oder ungeschützte Hindernisse wie Bäume neben der Fahrbahn hinzu. Insgesamt kamen 29,8 % der bei Unfällen im Straßenverkehr Getöteten innerorts ums Leben, 58,6 % auf Landstraßen und 11,7 % auf Autobahnen. </w:t>
      </w:r>
    </w:p>
    <w:p w14:paraId="1391CA98" w14:textId="77777777" w:rsidR="00C406A3" w:rsidRPr="00F74F39" w:rsidRDefault="00C406A3" w:rsidP="00DD014D">
      <w:pPr>
        <w:ind w:left="1418"/>
        <w:jc w:val="both"/>
        <w:rPr>
          <w:b/>
          <w:bCs/>
        </w:rPr>
      </w:pPr>
      <w:r w:rsidRPr="00F74F39">
        <w:rPr>
          <w:b/>
          <w:bCs/>
        </w:rPr>
        <w:lastRenderedPageBreak/>
        <w:t>Innerorts mehr getötete Radfahrerinnen und Radfahrer sowie Fußgängerinnen und Fußgänger als Pkw-Insassen</w:t>
      </w:r>
    </w:p>
    <w:p w14:paraId="5B15DE0B" w14:textId="77777777" w:rsidR="00C406A3" w:rsidRDefault="00C406A3" w:rsidP="00DD014D">
      <w:pPr>
        <w:ind w:left="1418"/>
        <w:jc w:val="both"/>
      </w:pPr>
    </w:p>
    <w:p w14:paraId="70F42801" w14:textId="77777777" w:rsidR="00C406A3" w:rsidRDefault="00C406A3" w:rsidP="00DD014D">
      <w:pPr>
        <w:ind w:left="1418"/>
        <w:jc w:val="both"/>
      </w:pPr>
      <w:r>
        <w:t>Innerhalb von Ortschaften findet der größte Teil des Fußgänger- und Radverkehrs statt. Dies wirkt sich auch auf die Unfallzahlen aus. Im Jahr 2020 starben innerhalb von Ortschaften 810 Menschen. Die meisten waren zu Fuß (275) oder mit dem Fahrrad (254) unterwegs, gefolgt vom Pkw (130). Innerhalb von Ortschaften starben somit mehr Radfahrerinnen und Radfahrer und mehr Fußgängerinnen und Fußgänger als Pkw-Insassen.</w:t>
      </w:r>
    </w:p>
    <w:p w14:paraId="61AFB0A9" w14:textId="77777777" w:rsidR="00C406A3" w:rsidRDefault="00C406A3" w:rsidP="00C406A3">
      <w:pPr>
        <w:ind w:left="1418"/>
      </w:pPr>
    </w:p>
    <w:p w14:paraId="2C193ECE" w14:textId="77777777" w:rsidR="00C406A3" w:rsidRDefault="00C406A3" w:rsidP="00DD014D">
      <w:pPr>
        <w:ind w:left="1418"/>
        <w:jc w:val="both"/>
      </w:pPr>
      <w:r>
        <w:t>Die meisten Fahrradunfälle ereignen sich im Sommerhalbjahr. Allerdings ist die Fahrradsaison in den vergangenen Jahren länger geworden. Immer mehr Menschen nutzen das Fahrrad für den Weg zur Ausbildung beziehungsweise zur Arbeit. Daher gibt es an Wochentagen mehr Fahrradunfälle als am Wochenende. Demgegenüber stehen Unfälle mit Motorrädern und Motorrollern oft mit schönem Wetter und Freizeitfahrten in Zusammenhang. Sie finden gehäuft in den Monaten April bis Oktober an Wochenenden statt.</w:t>
      </w:r>
    </w:p>
    <w:p w14:paraId="5F8B1E87" w14:textId="77777777" w:rsidR="00C406A3" w:rsidRDefault="00C406A3" w:rsidP="00DD014D">
      <w:pPr>
        <w:ind w:left="1418"/>
        <w:jc w:val="both"/>
      </w:pPr>
    </w:p>
    <w:p w14:paraId="771F1BFF" w14:textId="77777777" w:rsidR="00C406A3" w:rsidRPr="006E6AC3" w:rsidRDefault="00C406A3" w:rsidP="00DD014D">
      <w:pPr>
        <w:ind w:left="1418"/>
        <w:jc w:val="both"/>
        <w:rPr>
          <w:b/>
          <w:bCs/>
        </w:rPr>
      </w:pPr>
      <w:r>
        <w:rPr>
          <w:b/>
          <w:bCs/>
        </w:rPr>
        <w:t>Anmerkung des DStGB</w:t>
      </w:r>
    </w:p>
    <w:p w14:paraId="7F82089C" w14:textId="77777777" w:rsidR="00C406A3" w:rsidRDefault="00C406A3" w:rsidP="00DD014D">
      <w:pPr>
        <w:ind w:left="1418"/>
        <w:jc w:val="both"/>
      </w:pPr>
    </w:p>
    <w:p w14:paraId="3A9135FE" w14:textId="77777777" w:rsidR="00C406A3" w:rsidRDefault="00C406A3" w:rsidP="00DD014D">
      <w:pPr>
        <w:ind w:left="1418"/>
        <w:jc w:val="both"/>
      </w:pPr>
      <w:r>
        <w:t xml:space="preserve">Die aktuellen Zahlen der Unfallstatistik sind insbesondere vor dem Hintergrund des verringerten Verkehrsaufkommens als auch des veränderten Mobiliätsverhaltens durch die Corona-Pandemie zu bewerten. In den Vorjahren war jedoch bereits erkennbar, dass sich die Verkehrssicherheit trotz des Verkehrswachstums weiter verbessert und somit die Zahl der Verkehrstoten sank. </w:t>
      </w:r>
    </w:p>
    <w:p w14:paraId="6FD12BB6" w14:textId="77777777" w:rsidR="00C406A3" w:rsidRDefault="00C406A3" w:rsidP="00DD014D">
      <w:pPr>
        <w:ind w:left="1418"/>
        <w:jc w:val="both"/>
      </w:pPr>
    </w:p>
    <w:p w14:paraId="4686C82C" w14:textId="77777777" w:rsidR="00C406A3" w:rsidRDefault="00C406A3" w:rsidP="00DD014D">
      <w:pPr>
        <w:ind w:left="1418"/>
        <w:jc w:val="both"/>
      </w:pPr>
      <w:r>
        <w:t xml:space="preserve">Die Unfalldaten als auch die Steigerungen im Radverkehr vor und während der Pandemie unterstreichen die Notwendigkeit eines Ausbaus der Radinfrastruktur und der Verbesserung der Verkehrssicherheit für die Nahmobilität. Hierzu sollte auch das Bundesprogramm zur Radverkehrsförderung „Stadt- und Land“ nach 2023 verstetigt und um weitere Fördertatbestände einer sicheren Nahmobilität ergänzt werden. Den </w:t>
      </w:r>
      <w:r w:rsidRPr="00FB5A46">
        <w:t xml:space="preserve">Kommunen </w:t>
      </w:r>
      <w:r>
        <w:t xml:space="preserve">könnten so mehr </w:t>
      </w:r>
      <w:r w:rsidRPr="00FB5A46">
        <w:t>Möglichkeit ge</w:t>
      </w:r>
      <w:r>
        <w:t>ge</w:t>
      </w:r>
      <w:r w:rsidRPr="00FB5A46">
        <w:t>ben</w:t>
      </w:r>
      <w:r>
        <w:t xml:space="preserve"> werden</w:t>
      </w:r>
      <w:r w:rsidRPr="00FB5A46">
        <w:t>, bekannte Gefahrenstellen</w:t>
      </w:r>
      <w:r>
        <w:t xml:space="preserve"> für zu Fuß Gehende und Radfahrende</w:t>
      </w:r>
      <w:r w:rsidRPr="00FB5A46">
        <w:t xml:space="preserve"> auch baulich zu verändern.</w:t>
      </w:r>
      <w:r>
        <w:t xml:space="preserve"> Dieser Forderung entsprach zuletzt auch der Bundestag im Rahmen eines am 21.05.2021 angemommenen Koalitionsantrags zur Verkehrssicherheit. </w:t>
      </w:r>
    </w:p>
    <w:p w14:paraId="3BBA1EEB" w14:textId="77777777" w:rsidR="00C406A3" w:rsidRDefault="00C406A3" w:rsidP="00DD014D">
      <w:pPr>
        <w:ind w:left="1418"/>
        <w:jc w:val="both"/>
      </w:pPr>
    </w:p>
    <w:p w14:paraId="6E40FC87" w14:textId="77777777" w:rsidR="00C406A3" w:rsidRDefault="00C406A3" w:rsidP="00DD014D">
      <w:pPr>
        <w:ind w:left="1418"/>
        <w:jc w:val="both"/>
      </w:pPr>
      <w:r>
        <w:t>Umfangreiche Informationen zum Unfallgeschehen in den Kommunen bietet der interaktive Unfallatlas der Statistischen Ämter des Bundes und der Länder. Angezeigt werden bezogen auf Straßenabschnitte die Unfälle mit Personenschäden unter Beteiligung von PKW, Krafträdern, Fahrrädern und Fußgängern.</w:t>
      </w:r>
    </w:p>
    <w:p w14:paraId="4E24BB1B" w14:textId="77777777" w:rsidR="00C406A3" w:rsidRDefault="00C406A3" w:rsidP="00C406A3">
      <w:pPr>
        <w:ind w:left="1418"/>
      </w:pPr>
    </w:p>
    <w:p w14:paraId="722AE295" w14:textId="77777777" w:rsidR="00DD014D" w:rsidRDefault="00DD014D">
      <w:r>
        <w:br w:type="page"/>
      </w:r>
    </w:p>
    <w:p w14:paraId="72435DEB" w14:textId="77777777" w:rsidR="00C406A3" w:rsidRPr="006E6AC3" w:rsidRDefault="00C406A3" w:rsidP="00C406A3">
      <w:pPr>
        <w:ind w:left="1418"/>
        <w:rPr>
          <w:b/>
          <w:bCs/>
        </w:rPr>
      </w:pPr>
      <w:r w:rsidRPr="006E6AC3">
        <w:rPr>
          <w:b/>
          <w:bCs/>
        </w:rPr>
        <w:lastRenderedPageBreak/>
        <w:t>Weitere Informationen</w:t>
      </w:r>
    </w:p>
    <w:p w14:paraId="1D7700E0" w14:textId="77777777" w:rsidR="00C406A3" w:rsidRDefault="00C406A3" w:rsidP="00C406A3">
      <w:pPr>
        <w:ind w:left="1418"/>
      </w:pPr>
    </w:p>
    <w:p w14:paraId="796958A1" w14:textId="77777777" w:rsidR="00C406A3" w:rsidRDefault="00C406A3" w:rsidP="00C406A3">
      <w:pPr>
        <w:ind w:left="1418"/>
        <w:rPr>
          <w:color w:val="000000"/>
        </w:rPr>
      </w:pPr>
      <w:r>
        <w:rPr>
          <w:color w:val="000000"/>
        </w:rPr>
        <w:t xml:space="preserve">Statistik über Verkehrsunfälle auf der Webseite des Statistischen Bundesamtes: </w:t>
      </w:r>
      <w:hyperlink r:id="rId27" w:anchor="sprg230058" w:history="1">
        <w:r w:rsidRPr="004E3137">
          <w:rPr>
            <w:rStyle w:val="Hyperlink"/>
          </w:rPr>
          <w:t>https://www.destatis.de/DE/Themen/Gesellschaft-Umwelt/Verkehrsunfaelle/_inhalt.html#sprg230058</w:t>
        </w:r>
      </w:hyperlink>
      <w:r>
        <w:rPr>
          <w:color w:val="000000"/>
        </w:rPr>
        <w:t xml:space="preserve"> </w:t>
      </w:r>
    </w:p>
    <w:p w14:paraId="597A0EB9" w14:textId="77777777" w:rsidR="00C406A3" w:rsidRDefault="00C406A3" w:rsidP="00C406A3">
      <w:pPr>
        <w:ind w:left="1418"/>
        <w:rPr>
          <w:color w:val="000000"/>
        </w:rPr>
      </w:pPr>
    </w:p>
    <w:p w14:paraId="3A93C153" w14:textId="77777777" w:rsidR="00C406A3" w:rsidRPr="00974603" w:rsidRDefault="00C406A3" w:rsidP="00C406A3">
      <w:pPr>
        <w:ind w:left="1418"/>
        <w:rPr>
          <w:color w:val="000000"/>
        </w:rPr>
      </w:pPr>
      <w:r w:rsidRPr="00974603">
        <w:rPr>
          <w:color w:val="000000"/>
        </w:rPr>
        <w:t>I</w:t>
      </w:r>
      <w:r>
        <w:rPr>
          <w:color w:val="000000"/>
        </w:rPr>
        <w:t>nteraktiver Unfallatlas der s</w:t>
      </w:r>
      <w:r w:rsidRPr="00974603">
        <w:rPr>
          <w:color w:val="000000"/>
        </w:rPr>
        <w:t xml:space="preserve">tatistischen Ämter des Bundes und der Länder: </w:t>
      </w:r>
      <w:hyperlink r:id="rId28" w:history="1">
        <w:r w:rsidRPr="00974603">
          <w:rPr>
            <w:rStyle w:val="Hyperlink"/>
          </w:rPr>
          <w:t>https://unfallatlas.statistikportal.de/</w:t>
        </w:r>
      </w:hyperlink>
      <w:r w:rsidRPr="00974603">
        <w:rPr>
          <w:color w:val="000000"/>
        </w:rPr>
        <w:t xml:space="preserve"> </w:t>
      </w:r>
    </w:p>
    <w:p w14:paraId="516C5921" w14:textId="77777777" w:rsidR="00C406A3" w:rsidRPr="006E6AC3" w:rsidRDefault="00C406A3" w:rsidP="00C406A3">
      <w:pPr>
        <w:ind w:left="1418"/>
      </w:pPr>
    </w:p>
    <w:p w14:paraId="44A427DF" w14:textId="77777777" w:rsidR="00C406A3" w:rsidRDefault="00C406A3" w:rsidP="00C406A3">
      <w:pPr>
        <w:ind w:left="1418"/>
      </w:pPr>
      <w:r>
        <w:t xml:space="preserve">Verkehrsunfallkalender des Statistischen Bundesamts: </w:t>
      </w:r>
      <w:hyperlink r:id="rId29" w:history="1">
        <w:r w:rsidRPr="005211CA">
          <w:rPr>
            <w:rStyle w:val="Hyperlink"/>
          </w:rPr>
          <w:t>https://service.destatis.de/DE/verkehrsunfallkalender/</w:t>
        </w:r>
      </w:hyperlink>
      <w:r>
        <w:t xml:space="preserve"> </w:t>
      </w:r>
    </w:p>
    <w:p w14:paraId="689A6A87" w14:textId="77777777" w:rsidR="00C406A3" w:rsidRDefault="00C406A3" w:rsidP="00C406A3">
      <w:pPr>
        <w:ind w:left="1418"/>
      </w:pPr>
    </w:p>
    <w:p w14:paraId="06F5B90E" w14:textId="4752180E" w:rsidR="00C406A3" w:rsidRDefault="00C406A3" w:rsidP="00C406A3">
      <w:pPr>
        <w:ind w:left="1418"/>
      </w:pPr>
      <w:r>
        <w:t>Antrag zur „Vision Zero“ der Fraktionen der CDU/CSU und SPD</w:t>
      </w:r>
      <w:r w:rsidRPr="003B1602">
        <w:t xml:space="preserve"> </w:t>
      </w:r>
      <w:r>
        <w:t>im Bundestag (</w:t>
      </w:r>
      <w:r w:rsidRPr="003B1602">
        <w:t>Drucksache 19/29766</w:t>
      </w:r>
      <w:r>
        <w:t xml:space="preserve">): </w:t>
      </w:r>
      <w:hyperlink r:id="rId30" w:history="1">
        <w:r w:rsidRPr="009D1DFF">
          <w:rPr>
            <w:rStyle w:val="Hyperlink"/>
          </w:rPr>
          <w:t>https://dip21.bundestag.de/dip21/btd/19/297/1929766.pdf</w:t>
        </w:r>
      </w:hyperlink>
    </w:p>
    <w:p w14:paraId="1BC8F2CE" w14:textId="77777777" w:rsidR="00C406A3" w:rsidRDefault="00C406A3" w:rsidP="00C406A3">
      <w:pPr>
        <w:ind w:left="1418"/>
      </w:pPr>
    </w:p>
    <w:p w14:paraId="07177C77" w14:textId="77777777" w:rsidR="00C406A3" w:rsidRPr="00FB5A46" w:rsidRDefault="00C406A3" w:rsidP="00C406A3">
      <w:pPr>
        <w:ind w:left="1418"/>
      </w:pPr>
      <w:r w:rsidRPr="00FB5A46">
        <w:t xml:space="preserve">DStGB-Webseite Schwerpunkt Verkehrssicherheit: </w:t>
      </w:r>
      <w:hyperlink r:id="rId31" w:history="1">
        <w:r w:rsidRPr="005211CA">
          <w:rPr>
            <w:rStyle w:val="Hyperlink"/>
          </w:rPr>
          <w:t>https://www.dstgb.de/themen/mobilitaet/verkehrssicherheit/</w:t>
        </w:r>
      </w:hyperlink>
      <w:r>
        <w:t xml:space="preserve"> </w:t>
      </w:r>
    </w:p>
    <w:p w14:paraId="2B0E9A7A" w14:textId="77777777" w:rsidR="00C406A3" w:rsidRPr="00FB5A46" w:rsidRDefault="00C406A3" w:rsidP="00C406A3">
      <w:pPr>
        <w:ind w:left="1418"/>
      </w:pPr>
    </w:p>
    <w:p w14:paraId="6A490B77" w14:textId="77777777" w:rsidR="00C406A3" w:rsidRPr="00FB5A46" w:rsidRDefault="00C406A3" w:rsidP="00C406A3">
      <w:pPr>
        <w:ind w:left="1418"/>
        <w:rPr>
          <w:lang w:val="en-US"/>
        </w:rPr>
      </w:pPr>
      <w:r w:rsidRPr="00FB5A46">
        <w:rPr>
          <w:lang w:val="en-US"/>
        </w:rPr>
        <w:t>(IV/2 722, Jan Strehmann, 07.07.2021)</w:t>
      </w:r>
    </w:p>
    <w:p w14:paraId="0F49C992" w14:textId="77777777" w:rsidR="008E50C8" w:rsidRDefault="008E50C8" w:rsidP="008E50C8">
      <w:pPr>
        <w:ind w:left="1418"/>
      </w:pPr>
    </w:p>
    <w:p w14:paraId="1CC6AAC0" w14:textId="77777777" w:rsidR="008E50C8" w:rsidRPr="00004857" w:rsidRDefault="008E50C8" w:rsidP="008E50C8">
      <w:pPr>
        <w:ind w:left="1418"/>
      </w:pPr>
    </w:p>
    <w:p w14:paraId="0C9150E2" w14:textId="77777777" w:rsidR="0033725F" w:rsidRDefault="00462B02" w:rsidP="0033725F">
      <w:pPr>
        <w:jc w:val="right"/>
        <w:rPr>
          <w:rStyle w:val="Hyperlink"/>
          <w:b/>
          <w:color w:val="auto"/>
          <w:sz w:val="18"/>
        </w:rPr>
      </w:pPr>
      <w:hyperlink w:anchor="_top" w:history="1">
        <w:r w:rsidR="0033725F" w:rsidRPr="0028439B">
          <w:rPr>
            <w:rStyle w:val="Hyperlink"/>
            <w:b/>
            <w:color w:val="auto"/>
            <w:sz w:val="18"/>
          </w:rPr>
          <w:t>Inhaltsverzeichnis</w:t>
        </w:r>
      </w:hyperlink>
    </w:p>
    <w:p w14:paraId="3DD8AC5E" w14:textId="77777777" w:rsidR="008E50C8" w:rsidRPr="0028439B" w:rsidRDefault="008E50C8" w:rsidP="0033725F">
      <w:pPr>
        <w:jc w:val="right"/>
        <w:rPr>
          <w:b/>
          <w:sz w:val="18"/>
        </w:rPr>
      </w:pPr>
    </w:p>
    <w:p w14:paraId="3C5969D1" w14:textId="77777777" w:rsidR="0033725F" w:rsidRPr="00547E93" w:rsidRDefault="0033725F" w:rsidP="0033725F">
      <w:pPr>
        <w:tabs>
          <w:tab w:val="right" w:pos="9071"/>
        </w:tabs>
        <w:rPr>
          <w:b/>
        </w:rPr>
      </w:pPr>
      <w:r w:rsidRPr="00547E93">
        <w:rPr>
          <w:bCs/>
        </w:rPr>
        <w:br w:type="page"/>
      </w:r>
    </w:p>
    <w:p w14:paraId="4D3D3E55" w14:textId="77777777" w:rsidR="0033725F" w:rsidRPr="00D64B28" w:rsidRDefault="0033725F" w:rsidP="0033725F">
      <w:pPr>
        <w:rPr>
          <w:b/>
          <w:sz w:val="40"/>
          <w:highlight w:val="lightGray"/>
        </w:rPr>
      </w:pPr>
      <w:r>
        <w:rPr>
          <w:b/>
          <w:sz w:val="40"/>
          <w:highlight w:val="lightGray"/>
        </w:rPr>
        <w:lastRenderedPageBreak/>
        <w:t>WIRTSCHAFT UND VERKEHR</w:t>
      </w:r>
    </w:p>
    <w:p w14:paraId="418D20B0" w14:textId="77777777" w:rsidR="0033725F" w:rsidRPr="00547E93" w:rsidRDefault="0033725F" w:rsidP="0033725F">
      <w:pPr>
        <w:tabs>
          <w:tab w:val="left" w:pos="1418"/>
        </w:tabs>
        <w:rPr>
          <w:b/>
          <w:sz w:val="28"/>
          <w:szCs w:val="28"/>
        </w:rPr>
      </w:pPr>
    </w:p>
    <w:p w14:paraId="5E2BE9A9" w14:textId="0BEDB518" w:rsidR="00C406A3" w:rsidRPr="006E6AC3" w:rsidRDefault="00C67E44" w:rsidP="00C406A3">
      <w:pPr>
        <w:pStyle w:val="2"/>
        <w:spacing w:before="0" w:after="0"/>
      </w:pPr>
      <w:bookmarkStart w:id="28" w:name="_Toc76732616"/>
      <w:r>
        <w:t>2721</w:t>
      </w:r>
      <w:r w:rsidR="00547626" w:rsidRPr="00547E93">
        <w:t>-</w:t>
      </w:r>
      <w:r w:rsidR="00DD014D">
        <w:t>1</w:t>
      </w:r>
      <w:r w:rsidR="0088289E">
        <w:t>4</w:t>
      </w:r>
      <w:r w:rsidR="00547626" w:rsidRPr="00547E93">
        <w:tab/>
      </w:r>
      <w:r w:rsidR="00C406A3">
        <w:t xml:space="preserve">OLG Celle: Geschwindigkeitsmessungen mit </w:t>
      </w:r>
      <w:r w:rsidR="00C406A3" w:rsidRPr="00C56EAF">
        <w:t>LEIVTEC XV3</w:t>
      </w:r>
      <w:r w:rsidR="00C406A3">
        <w:t xml:space="preserve"> nicht immer zuverlässig genug</w:t>
      </w:r>
      <w:bookmarkEnd w:id="28"/>
    </w:p>
    <w:p w14:paraId="55AFDD8C" w14:textId="77777777" w:rsidR="00C406A3" w:rsidRPr="006E6AC3" w:rsidRDefault="00C406A3" w:rsidP="00C406A3">
      <w:pPr>
        <w:ind w:left="1418"/>
        <w:rPr>
          <w:b/>
          <w:bCs/>
        </w:rPr>
      </w:pPr>
    </w:p>
    <w:p w14:paraId="56D325F0" w14:textId="77777777" w:rsidR="00C406A3" w:rsidRDefault="00C406A3" w:rsidP="00DD014D">
      <w:pPr>
        <w:ind w:left="1418"/>
        <w:jc w:val="both"/>
        <w:rPr>
          <w:b/>
        </w:rPr>
      </w:pPr>
      <w:r>
        <w:rPr>
          <w:b/>
        </w:rPr>
        <w:t xml:space="preserve">Nach einer Entscheidung des Oberlandesgerichts Celle können Messergebnisse des </w:t>
      </w:r>
      <w:r w:rsidRPr="00C56EAF">
        <w:rPr>
          <w:b/>
        </w:rPr>
        <w:t>Geschwindigkeitsmessgeräts LEIVTEC XV3</w:t>
      </w:r>
      <w:r>
        <w:rPr>
          <w:b/>
        </w:rPr>
        <w:t xml:space="preserve"> in Bußgeldverfahren nicht mehr ohne Weiteres zugrunde gelegt werden.</w:t>
      </w:r>
    </w:p>
    <w:p w14:paraId="7D635F78" w14:textId="77777777" w:rsidR="00C406A3" w:rsidRDefault="00C406A3" w:rsidP="00DD014D">
      <w:pPr>
        <w:ind w:left="1418"/>
        <w:jc w:val="both"/>
        <w:rPr>
          <w:b/>
        </w:rPr>
      </w:pPr>
    </w:p>
    <w:p w14:paraId="68528563" w14:textId="77777777" w:rsidR="00C406A3" w:rsidRPr="006E6AC3" w:rsidRDefault="00C406A3" w:rsidP="00DD014D">
      <w:pPr>
        <w:ind w:left="1418"/>
        <w:jc w:val="both"/>
        <w:rPr>
          <w:b/>
          <w:bCs/>
        </w:rPr>
      </w:pPr>
      <w:r>
        <w:rPr>
          <w:b/>
          <w:bCs/>
        </w:rPr>
        <w:t>Standardisierte Messverfahren sind Grundlage für Ordnungswidrigkeitenverfahren</w:t>
      </w:r>
    </w:p>
    <w:p w14:paraId="40D41E7A" w14:textId="77777777" w:rsidR="00C406A3" w:rsidRDefault="00C406A3" w:rsidP="00DD014D">
      <w:pPr>
        <w:ind w:left="1418"/>
        <w:jc w:val="both"/>
      </w:pPr>
    </w:p>
    <w:p w14:paraId="24A1FD4C" w14:textId="77777777" w:rsidR="00C406A3" w:rsidRDefault="00C406A3" w:rsidP="00DD014D">
      <w:pPr>
        <w:ind w:left="1418"/>
        <w:jc w:val="both"/>
      </w:pPr>
      <w:r>
        <w:t>Geschwindigkeitsmessungen von Kraftfahrzeugen werden vor Gericht immer wieder als fehlerträchtig angegriffen. Dabei sind die Messgeräte im Zulassungsverfahren einer strengen technischen Prüfung unterworfen. Besteht ein Gerät diese Prüfung, bietet es bei Einhaltung der vorgegebenen Bedienvorschriften i.d.R. die hinreichende Gewähr für die Richtigkeit der erzielten Messergebnisse. Messungen können dann als sog. standardisierte Messverfahren in einem Ordnungswidrigkeitenverfahren ohne weitere Überprüfungen zugrunde gelegt werden.</w:t>
      </w:r>
    </w:p>
    <w:p w14:paraId="757F1151" w14:textId="77777777" w:rsidR="00C406A3" w:rsidRDefault="00C406A3" w:rsidP="00DD014D">
      <w:pPr>
        <w:ind w:left="1418"/>
        <w:jc w:val="both"/>
      </w:pPr>
    </w:p>
    <w:p w14:paraId="26C83FEC" w14:textId="77777777" w:rsidR="00C406A3" w:rsidRDefault="00C406A3" w:rsidP="00DD014D">
      <w:pPr>
        <w:ind w:left="1418"/>
        <w:jc w:val="both"/>
      </w:pPr>
      <w:r>
        <w:t>Gibt es trotz Einhaltung der Bedienvorschriften jedoch Anhaltspunkte für Fehlerquellen und unzulässige Messwertabweichungen, setzt die Verurteilung eines vermeintlichen „Temposünders“ voraus, dass das Gericht im Einzelfall feststellen kann, dass solche Messfehler zu Lasten des Betroffenen ausgeschlossen sind.</w:t>
      </w:r>
    </w:p>
    <w:p w14:paraId="6B48FEFF" w14:textId="77777777" w:rsidR="00C406A3" w:rsidRDefault="00C406A3" w:rsidP="00DD014D">
      <w:pPr>
        <w:ind w:left="1418"/>
        <w:jc w:val="both"/>
      </w:pPr>
    </w:p>
    <w:p w14:paraId="6A6B7AAA" w14:textId="77777777" w:rsidR="00C406A3" w:rsidRPr="00C56EAF" w:rsidRDefault="00C406A3" w:rsidP="00DD014D">
      <w:pPr>
        <w:ind w:left="1418"/>
        <w:jc w:val="both"/>
        <w:rPr>
          <w:b/>
          <w:bCs/>
        </w:rPr>
      </w:pPr>
      <w:r>
        <w:rPr>
          <w:b/>
          <w:bCs/>
        </w:rPr>
        <w:t xml:space="preserve">Amtsgericht verhängte </w:t>
      </w:r>
      <w:r w:rsidRPr="00C56EAF">
        <w:rPr>
          <w:b/>
          <w:bCs/>
        </w:rPr>
        <w:t>Fahrverbot und Geldbuße wegen Überschreitung der zulässigen Höchstgeschwindigkeit</w:t>
      </w:r>
    </w:p>
    <w:p w14:paraId="384DB9AE" w14:textId="77777777" w:rsidR="00C406A3" w:rsidRDefault="00C406A3" w:rsidP="00C406A3">
      <w:pPr>
        <w:ind w:left="1418"/>
      </w:pPr>
    </w:p>
    <w:p w14:paraId="18D90D99" w14:textId="69FDD82A" w:rsidR="00C406A3" w:rsidRDefault="00C406A3" w:rsidP="00DD014D">
      <w:pPr>
        <w:ind w:left="1418"/>
        <w:jc w:val="both"/>
      </w:pPr>
      <w:r>
        <w:t>Einen derartigen Fall hatte der 2. Senat für Bußgeldsachen des Oberlandesgerichts Celle zu entscheiden (Beschluss vom 18. Juni 2021, Az.:</w:t>
      </w:r>
      <w:r w:rsidR="002706B9">
        <w:t> </w:t>
      </w:r>
      <w:r>
        <w:t>2</w:t>
      </w:r>
      <w:r w:rsidR="002706B9">
        <w:t> </w:t>
      </w:r>
      <w:proofErr w:type="spellStart"/>
      <w:r>
        <w:t>Ss</w:t>
      </w:r>
      <w:proofErr w:type="spellEnd"/>
      <w:r>
        <w:t xml:space="preserve"> (</w:t>
      </w:r>
      <w:proofErr w:type="spellStart"/>
      <w:r>
        <w:t>Owi</w:t>
      </w:r>
      <w:proofErr w:type="spellEnd"/>
      <w:r>
        <w:t>) 69/21): Ein Kraftfahrzeugfahrer wurde mit dem Geschwindigkeitsmessgerät LEIVTEC XV3 kontrolliert. Hiernach sollte er die zulässige Höchstgeschwindigkeit von 80 km/h um 37 km/h überschritten haben. Das Amtsgericht Walsrode hatte ihn deshalb zu einer Geldbuße von 140 € verurteilt und gegen ihn ein Fahrverbot von einem Monat verhängt.</w:t>
      </w:r>
    </w:p>
    <w:p w14:paraId="59EB61B3" w14:textId="77777777" w:rsidR="00C406A3" w:rsidRDefault="00C406A3" w:rsidP="00DD014D">
      <w:pPr>
        <w:ind w:left="1418"/>
        <w:jc w:val="both"/>
      </w:pPr>
    </w:p>
    <w:p w14:paraId="360FF5EE" w14:textId="77777777" w:rsidR="00C406A3" w:rsidRPr="00C56EAF" w:rsidRDefault="00C406A3" w:rsidP="00DD014D">
      <w:pPr>
        <w:ind w:left="1418"/>
        <w:jc w:val="both"/>
        <w:rPr>
          <w:b/>
          <w:bCs/>
        </w:rPr>
      </w:pPr>
      <w:r w:rsidRPr="00C56EAF">
        <w:rPr>
          <w:b/>
          <w:bCs/>
        </w:rPr>
        <w:t xml:space="preserve">OLG sieht </w:t>
      </w:r>
      <w:r>
        <w:rPr>
          <w:b/>
          <w:bCs/>
        </w:rPr>
        <w:t xml:space="preserve">derzeit keine </w:t>
      </w:r>
      <w:r w:rsidRPr="00C56EAF">
        <w:rPr>
          <w:b/>
          <w:bCs/>
        </w:rPr>
        <w:t>Gewähr für Zuverlässigkeit des Messgerätes</w:t>
      </w:r>
    </w:p>
    <w:p w14:paraId="1D5A8680" w14:textId="77777777" w:rsidR="00C406A3" w:rsidRDefault="00C406A3" w:rsidP="00DD014D">
      <w:pPr>
        <w:ind w:left="1418"/>
        <w:jc w:val="both"/>
      </w:pPr>
    </w:p>
    <w:p w14:paraId="34E6AA94" w14:textId="77777777" w:rsidR="00C406A3" w:rsidRDefault="00C406A3" w:rsidP="00DD014D">
      <w:pPr>
        <w:ind w:left="1418"/>
        <w:jc w:val="both"/>
      </w:pPr>
      <w:r>
        <w:t>Auf die Rechtsbeschwerde des Betroffenen hin hob der Senat dieses Urteil auf und verwies das Verfahren zur erneuten Entscheidung an das Amtsgericht zurück. Grund hierfür war, dass die für die Bauartprüfung dieses Messgeräts zuständige Physikalisch-Technische Bundesanstalt (PTB) zwischenzeitlich bei bestimmten Versuchsanordnungen seltene Messfehler reproduzieren konnte, die zulässige Toleranzen überschrit</w:t>
      </w:r>
      <w:r>
        <w:lastRenderedPageBreak/>
        <w:t>ten. Da der Abschlussbericht der PTB nicht eindeutig erkennen lässt, unter welchen Messbedingungen sich Messwertabweichungen zu Ungunsten bzw. ausschließlich zu Gunsten Betroffener auswirken können, sieht der Senat bei diesem Messgerät derzeit keine hinreichende Gewähr mehr für die Annahme eines standardisierten Messverfahrens und für die Zuverlässigkeit der erzielten Messergebnisse.</w:t>
      </w:r>
    </w:p>
    <w:p w14:paraId="102AAD96" w14:textId="77777777" w:rsidR="00C406A3" w:rsidRDefault="00C406A3" w:rsidP="00C406A3">
      <w:pPr>
        <w:ind w:left="1418"/>
      </w:pPr>
    </w:p>
    <w:p w14:paraId="50520159" w14:textId="77777777" w:rsidR="00C406A3" w:rsidRDefault="00C406A3" w:rsidP="00C406A3">
      <w:pPr>
        <w:ind w:left="1418"/>
      </w:pPr>
      <w:r>
        <w:t>Das Amtsgericht muss deshalb mithilfe eines Sachverständigengutachtens genauer aufklären, ob in diesem konkreten Einzelfall die ausgewiesene Geschwindigkeitsüberschreitung sicher festzustellen ist.</w:t>
      </w:r>
    </w:p>
    <w:p w14:paraId="750A9376" w14:textId="77777777" w:rsidR="00C406A3" w:rsidRDefault="00C406A3" w:rsidP="00C406A3">
      <w:pPr>
        <w:ind w:left="1418"/>
      </w:pPr>
    </w:p>
    <w:p w14:paraId="31C817CB" w14:textId="77777777" w:rsidR="00C406A3" w:rsidRPr="006E6AC3" w:rsidRDefault="00C406A3" w:rsidP="00C406A3">
      <w:pPr>
        <w:ind w:left="1418"/>
        <w:rPr>
          <w:b/>
          <w:bCs/>
        </w:rPr>
      </w:pPr>
      <w:r w:rsidRPr="006E6AC3">
        <w:rPr>
          <w:b/>
          <w:bCs/>
        </w:rPr>
        <w:t>Weitere Informationen</w:t>
      </w:r>
    </w:p>
    <w:p w14:paraId="64459F62" w14:textId="77777777" w:rsidR="00C406A3" w:rsidRPr="006E6AC3" w:rsidRDefault="00C406A3" w:rsidP="00C406A3">
      <w:pPr>
        <w:ind w:left="1418"/>
      </w:pPr>
    </w:p>
    <w:p w14:paraId="5E006E3B" w14:textId="77777777" w:rsidR="00C406A3" w:rsidRDefault="00C406A3" w:rsidP="00C406A3">
      <w:pPr>
        <w:ind w:left="1418"/>
      </w:pPr>
      <w:r>
        <w:t xml:space="preserve">Pressemitteilung des OLG Celle vom 02.07.2021: </w:t>
      </w:r>
      <w:hyperlink r:id="rId32" w:history="1">
        <w:r w:rsidRPr="00D07243">
          <w:rPr>
            <w:rStyle w:val="Hyperlink"/>
          </w:rPr>
          <w:t>https://oberlandesgericht-celle.niedersachsen.de/startseite/aktuelles/presseinformationen/geschwindigkeitsmessungen-mit-dem-messgerat-leivtec-xv3-sind-nicht-immer-zuverlassig-genug-202072.html</w:t>
        </w:r>
      </w:hyperlink>
      <w:r>
        <w:t xml:space="preserve"> </w:t>
      </w:r>
    </w:p>
    <w:p w14:paraId="5191C265" w14:textId="77777777" w:rsidR="00C406A3" w:rsidRPr="006E6AC3" w:rsidRDefault="00C406A3" w:rsidP="00C406A3">
      <w:pPr>
        <w:ind w:left="1418"/>
      </w:pPr>
    </w:p>
    <w:p w14:paraId="5FDB8B49" w14:textId="77777777" w:rsidR="00C406A3" w:rsidRPr="00174EA2" w:rsidRDefault="00C406A3" w:rsidP="00C406A3">
      <w:pPr>
        <w:ind w:left="1418"/>
      </w:pPr>
      <w:r w:rsidRPr="006E6AC3">
        <w:t>(IV/2, Jan Strehmann,</w:t>
      </w:r>
      <w:r>
        <w:t xml:space="preserve"> 05.07.2021</w:t>
      </w:r>
      <w:r w:rsidRPr="006E6AC3">
        <w:t>)</w:t>
      </w:r>
    </w:p>
    <w:p w14:paraId="047B4D42" w14:textId="77777777" w:rsidR="008E50C8" w:rsidRDefault="008E50C8" w:rsidP="008E50C8">
      <w:pPr>
        <w:ind w:left="1418"/>
      </w:pPr>
    </w:p>
    <w:p w14:paraId="094F995F" w14:textId="77777777" w:rsidR="008E50C8" w:rsidRPr="00004857" w:rsidRDefault="008E50C8" w:rsidP="008E50C8">
      <w:pPr>
        <w:ind w:left="1418"/>
      </w:pPr>
    </w:p>
    <w:p w14:paraId="4DBB946C" w14:textId="77777777" w:rsidR="00547626" w:rsidRPr="0028439B" w:rsidRDefault="00462B02" w:rsidP="00547626">
      <w:pPr>
        <w:jc w:val="right"/>
        <w:rPr>
          <w:b/>
          <w:sz w:val="18"/>
        </w:rPr>
      </w:pPr>
      <w:hyperlink w:anchor="_top" w:history="1">
        <w:r w:rsidR="00547626" w:rsidRPr="0028439B">
          <w:rPr>
            <w:rStyle w:val="Hyperlink"/>
            <w:b/>
            <w:color w:val="auto"/>
            <w:sz w:val="18"/>
          </w:rPr>
          <w:t>Inhaltsverzeichnis</w:t>
        </w:r>
      </w:hyperlink>
    </w:p>
    <w:p w14:paraId="3039D4F1" w14:textId="77777777" w:rsidR="00333DB1" w:rsidRPr="00547E93" w:rsidRDefault="00333DB1" w:rsidP="00630EEA">
      <w:pPr>
        <w:tabs>
          <w:tab w:val="right" w:pos="9071"/>
        </w:tabs>
        <w:rPr>
          <w:b/>
        </w:rPr>
      </w:pPr>
      <w:r w:rsidRPr="00547E93">
        <w:rPr>
          <w:bCs/>
        </w:rPr>
        <w:br w:type="page"/>
      </w:r>
    </w:p>
    <w:p w14:paraId="35AAF5FF" w14:textId="77777777" w:rsidR="00B572FE" w:rsidRPr="00547E93" w:rsidRDefault="00B572FE" w:rsidP="008E0157">
      <w:pPr>
        <w:pStyle w:val="berschrift1"/>
        <w:rPr>
          <w:b/>
        </w:rPr>
      </w:pPr>
      <w:bookmarkStart w:id="29" w:name="_Toc502842260"/>
      <w:bookmarkStart w:id="30" w:name="_Toc76732617"/>
      <w:r w:rsidRPr="00547E93">
        <w:rPr>
          <w:b/>
        </w:rPr>
        <w:lastRenderedPageBreak/>
        <w:t>EUROPA UND INTERNATIONALES</w:t>
      </w:r>
      <w:bookmarkEnd w:id="29"/>
      <w:bookmarkEnd w:id="30"/>
      <w:r w:rsidRPr="00547E93">
        <w:rPr>
          <w:b/>
        </w:rPr>
        <w:t xml:space="preserve"> </w:t>
      </w:r>
    </w:p>
    <w:p w14:paraId="7AAC064F" w14:textId="77777777" w:rsidR="00B572FE" w:rsidRPr="00547E93" w:rsidRDefault="00B572FE" w:rsidP="00630EEA">
      <w:pPr>
        <w:tabs>
          <w:tab w:val="left" w:pos="1418"/>
        </w:tabs>
        <w:rPr>
          <w:b/>
          <w:sz w:val="28"/>
          <w:szCs w:val="28"/>
        </w:rPr>
      </w:pPr>
    </w:p>
    <w:p w14:paraId="347AFA43" w14:textId="4557C8A2" w:rsidR="00FD0F78" w:rsidRPr="00FD0F78" w:rsidRDefault="00C67E44" w:rsidP="00FD0F78">
      <w:pPr>
        <w:pStyle w:val="2"/>
        <w:spacing w:before="0" w:after="0"/>
      </w:pPr>
      <w:bookmarkStart w:id="31" w:name="_Toc76732618"/>
      <w:r>
        <w:t>2721</w:t>
      </w:r>
      <w:r w:rsidR="00D97CC1" w:rsidRPr="00547E93">
        <w:t>-</w:t>
      </w:r>
      <w:r w:rsidR="00D97CC1">
        <w:t>1</w:t>
      </w:r>
      <w:r w:rsidR="0088289E">
        <w:t>5</w:t>
      </w:r>
      <w:r w:rsidR="00D97CC1" w:rsidRPr="00547E93">
        <w:tab/>
      </w:r>
      <w:r w:rsidR="00FD0F78">
        <w:t xml:space="preserve">10. Jahreskonferenz der </w:t>
      </w:r>
      <w:r w:rsidR="00FD0F78" w:rsidRPr="00BD7103">
        <w:t>Deutsch-Griechische</w:t>
      </w:r>
      <w:r w:rsidR="00FD0F78">
        <w:t>n</w:t>
      </w:r>
      <w:r w:rsidR="00FD0F78" w:rsidRPr="00BD7103">
        <w:t xml:space="preserve"> Versammlung</w:t>
      </w:r>
      <w:r w:rsidR="00FD0F78">
        <w:t xml:space="preserve"> vom 3. bis 5. November in Athen</w:t>
      </w:r>
      <w:bookmarkEnd w:id="31"/>
    </w:p>
    <w:p w14:paraId="6CDFB607" w14:textId="77777777" w:rsidR="00FD0F78" w:rsidRDefault="00FD0F78" w:rsidP="00FD0F78">
      <w:pPr>
        <w:ind w:left="1418"/>
        <w:rPr>
          <w:color w:val="000000"/>
        </w:rPr>
      </w:pPr>
    </w:p>
    <w:p w14:paraId="5D5714A4" w14:textId="77777777" w:rsidR="00FD0F78" w:rsidRDefault="00FD0F78" w:rsidP="00304CDB">
      <w:pPr>
        <w:ind w:left="1418"/>
        <w:jc w:val="both"/>
        <w:rPr>
          <w:b/>
          <w:bCs/>
          <w:color w:val="000000"/>
        </w:rPr>
      </w:pPr>
      <w:r>
        <w:rPr>
          <w:b/>
          <w:bCs/>
          <w:color w:val="000000"/>
        </w:rPr>
        <w:t xml:space="preserve">Die 10. </w:t>
      </w:r>
      <w:r w:rsidRPr="00900B1E">
        <w:rPr>
          <w:b/>
          <w:bCs/>
          <w:color w:val="000000"/>
        </w:rPr>
        <w:t>Jahreskonferenz der Deutsch-Griechischen Versammlung</w:t>
      </w:r>
      <w:r>
        <w:rPr>
          <w:b/>
          <w:bCs/>
          <w:color w:val="000000"/>
        </w:rPr>
        <w:t xml:space="preserve"> wird, sofern dies die Corona-Pandemie zulässt, vom 3. bis 5. November in Athen stattfinden.</w:t>
      </w:r>
      <w:r w:rsidRPr="00900B1E">
        <w:rPr>
          <w:b/>
          <w:bCs/>
          <w:color w:val="000000"/>
        </w:rPr>
        <w:t xml:space="preserve"> </w:t>
      </w:r>
      <w:r>
        <w:rPr>
          <w:b/>
          <w:bCs/>
          <w:color w:val="000000"/>
        </w:rPr>
        <w:t>Eine Übernahme der Reisekosten für kommunale Vertreterinnen und Vertreter ist in Aussicht gestellt.</w:t>
      </w:r>
    </w:p>
    <w:p w14:paraId="70BFB935" w14:textId="77777777" w:rsidR="00FD0F78" w:rsidRDefault="00FD0F78" w:rsidP="00304CDB">
      <w:pPr>
        <w:ind w:left="1418"/>
        <w:jc w:val="both"/>
        <w:rPr>
          <w:rFonts w:ascii="Calibri" w:hAnsi="Calibri" w:cs="Calibri"/>
          <w:noProof/>
        </w:rPr>
      </w:pPr>
    </w:p>
    <w:p w14:paraId="06311A19" w14:textId="4388D905" w:rsidR="00FD0F78" w:rsidRDefault="00FD0F78" w:rsidP="00304CDB">
      <w:pPr>
        <w:ind w:left="1418"/>
        <w:jc w:val="both"/>
        <w:rPr>
          <w:bCs/>
          <w:color w:val="000000"/>
        </w:rPr>
      </w:pPr>
      <w:r>
        <w:rPr>
          <w:bCs/>
          <w:color w:val="000000"/>
        </w:rPr>
        <w:t xml:space="preserve">Die nunmehr 10. Jahreskonferenz der Deutsch-Griechischen Versammlung (DGV) soll vom 3. bis 5. November 2021 in Athen stattfinden und steht unter dem Motto </w:t>
      </w:r>
      <w:r w:rsidR="004725CE">
        <w:rPr>
          <w:bCs/>
          <w:color w:val="000000"/>
        </w:rPr>
        <w:t>„</w:t>
      </w:r>
      <w:r w:rsidRPr="001D0300">
        <w:rPr>
          <w:bCs/>
          <w:color w:val="000000"/>
        </w:rPr>
        <w:t xml:space="preserve">Europa gemeinsam gestalten </w:t>
      </w:r>
      <w:r w:rsidR="004725CE">
        <w:rPr>
          <w:bCs/>
          <w:color w:val="000000"/>
        </w:rPr>
        <w:t>–</w:t>
      </w:r>
      <w:r w:rsidRPr="001D0300">
        <w:rPr>
          <w:bCs/>
          <w:color w:val="000000"/>
        </w:rPr>
        <w:t xml:space="preserve"> kommunal</w:t>
      </w:r>
      <w:r w:rsidR="004725CE">
        <w:rPr>
          <w:bCs/>
          <w:color w:val="000000"/>
        </w:rPr>
        <w:t xml:space="preserve"> handeln“</w:t>
      </w:r>
      <w:r>
        <w:rPr>
          <w:bCs/>
          <w:color w:val="000000"/>
        </w:rPr>
        <w:t xml:space="preserve">. </w:t>
      </w:r>
      <w:r w:rsidRPr="00A418C2">
        <w:rPr>
          <w:bCs/>
          <w:color w:val="000000"/>
        </w:rPr>
        <w:t>Mit dem Austragungsort Athen wurde für das bedeutsame 10. Jubiläum ein symbolträchtiger Ort für die Geschichte und Kultur Europas gewählt. Gemeinsam mit ihren Partnerinnen und Partnern lassen die DGV und ihr Beauftragter, der Parlamentarische Staatssekretär Norbert Barthle, in Athen das vergangene Jahr und die vielen erfolgreichen Kooperationen Revue passieren.</w:t>
      </w:r>
      <w:r>
        <w:rPr>
          <w:bCs/>
          <w:color w:val="000000"/>
        </w:rPr>
        <w:t xml:space="preserve"> </w:t>
      </w:r>
      <w:r w:rsidRPr="00A7155E">
        <w:rPr>
          <w:bCs/>
          <w:color w:val="000000"/>
        </w:rPr>
        <w:t>Schwerpunkte der diesjährigen Jahreskonferenz sind u.a. Digitalisierung, Tourismus, Umwelt</w:t>
      </w:r>
      <w:r w:rsidRPr="00A7155E">
        <w:t xml:space="preserve"> </w:t>
      </w:r>
      <w:r w:rsidRPr="00A7155E">
        <w:rPr>
          <w:bCs/>
          <w:color w:val="000000"/>
        </w:rPr>
        <w:t>und Wirtschaft. Die Bedeutung dieser Themen für die Kommunen in Deutschland und Griechenland hat nicht zuletzt die Corona-Pandemie gezeigt.</w:t>
      </w:r>
    </w:p>
    <w:p w14:paraId="24C2DDAB" w14:textId="77777777" w:rsidR="00FD0F78" w:rsidRDefault="00FD0F78" w:rsidP="00304CDB">
      <w:pPr>
        <w:ind w:left="1418"/>
        <w:jc w:val="both"/>
        <w:rPr>
          <w:bCs/>
          <w:color w:val="000000"/>
        </w:rPr>
      </w:pPr>
    </w:p>
    <w:p w14:paraId="62BE9F84" w14:textId="77777777" w:rsidR="00FD0F78" w:rsidRDefault="00FD0F78" w:rsidP="00304CDB">
      <w:pPr>
        <w:ind w:left="1418"/>
        <w:jc w:val="both"/>
        <w:rPr>
          <w:bCs/>
          <w:color w:val="000000"/>
        </w:rPr>
      </w:pPr>
      <w:r>
        <w:rPr>
          <w:bCs/>
          <w:color w:val="000000"/>
        </w:rPr>
        <w:t xml:space="preserve">Eine Teilnahme an der Jahreskonferenz steht allen am Austausch mit ihren griechischen Kolleginnen und Kollegen interessierten Kommunen offen. </w:t>
      </w:r>
      <w:r w:rsidRPr="00F23DCD">
        <w:rPr>
          <w:bCs/>
          <w:color w:val="000000"/>
        </w:rPr>
        <w:t xml:space="preserve">Nach Prüfung und unter bestimmten Voraussetzungen ist </w:t>
      </w:r>
      <w:r>
        <w:rPr>
          <w:bCs/>
          <w:color w:val="000000"/>
        </w:rPr>
        <w:t>dabei auch die</w:t>
      </w:r>
      <w:r w:rsidRPr="00F23DCD">
        <w:rPr>
          <w:bCs/>
          <w:color w:val="000000"/>
        </w:rPr>
        <w:t xml:space="preserve"> Übernahme der Reisekosten für Kommunalvertreterinnen oder Kommunalvertreter möglich.</w:t>
      </w:r>
    </w:p>
    <w:p w14:paraId="45FA8636" w14:textId="77777777" w:rsidR="00FD0F78" w:rsidRDefault="00FD0F78" w:rsidP="00304CDB">
      <w:pPr>
        <w:ind w:left="1418"/>
        <w:jc w:val="both"/>
        <w:rPr>
          <w:bCs/>
          <w:color w:val="000000"/>
        </w:rPr>
      </w:pPr>
    </w:p>
    <w:p w14:paraId="36FB97BD" w14:textId="77777777" w:rsidR="00FD0F78" w:rsidRDefault="00FD0F78" w:rsidP="00304CDB">
      <w:pPr>
        <w:ind w:left="1418"/>
        <w:jc w:val="both"/>
        <w:rPr>
          <w:bCs/>
          <w:color w:val="000000"/>
        </w:rPr>
      </w:pPr>
      <w:r>
        <w:rPr>
          <w:bCs/>
          <w:color w:val="000000"/>
        </w:rPr>
        <w:t>Ursprünglich sollte die 10. Jahreskonferenz bereits im vergangenen Jahr im November stattfinden. Pandemie-bedingt musste die Konferenz letztlich aber abgesagt werden. Hingewiesen sei darauf, dass a</w:t>
      </w:r>
      <w:r w:rsidRPr="00A7155E">
        <w:rPr>
          <w:bCs/>
          <w:color w:val="000000"/>
        </w:rPr>
        <w:t>ufgrund der noch immer geltenden Beschränkungen und Reiseunsicherheiten durch die Corona-Pandemie sich die DGV vor</w:t>
      </w:r>
      <w:r>
        <w:rPr>
          <w:bCs/>
          <w:color w:val="000000"/>
        </w:rPr>
        <w:t>behält</w:t>
      </w:r>
      <w:r w:rsidRPr="00A7155E">
        <w:rPr>
          <w:bCs/>
          <w:color w:val="000000"/>
        </w:rPr>
        <w:t xml:space="preserve">, den organisatorischen Rahmen der 10. Jahreskonferenz entsprechend den </w:t>
      </w:r>
      <w:r>
        <w:rPr>
          <w:bCs/>
          <w:color w:val="000000"/>
        </w:rPr>
        <w:t xml:space="preserve">dann </w:t>
      </w:r>
      <w:r w:rsidRPr="00A7155E">
        <w:rPr>
          <w:bCs/>
          <w:color w:val="000000"/>
        </w:rPr>
        <w:t xml:space="preserve">geltenden Bestimmungen </w:t>
      </w:r>
      <w:r>
        <w:rPr>
          <w:bCs/>
          <w:color w:val="000000"/>
        </w:rPr>
        <w:t xml:space="preserve">noch </w:t>
      </w:r>
      <w:r w:rsidRPr="00A7155E">
        <w:rPr>
          <w:bCs/>
          <w:color w:val="000000"/>
        </w:rPr>
        <w:t>anzupassen.</w:t>
      </w:r>
    </w:p>
    <w:p w14:paraId="6CF90A7E" w14:textId="77777777" w:rsidR="00FD0F78" w:rsidRDefault="00FD0F78" w:rsidP="00304CDB">
      <w:pPr>
        <w:ind w:left="1418"/>
        <w:jc w:val="both"/>
        <w:rPr>
          <w:bCs/>
          <w:color w:val="000000"/>
        </w:rPr>
      </w:pPr>
    </w:p>
    <w:p w14:paraId="29148600" w14:textId="77777777" w:rsidR="00FD0F78" w:rsidRDefault="00FD0F78" w:rsidP="00304CDB">
      <w:pPr>
        <w:ind w:left="1418"/>
        <w:jc w:val="both"/>
        <w:rPr>
          <w:bCs/>
          <w:color w:val="000000"/>
        </w:rPr>
      </w:pPr>
      <w:r>
        <w:rPr>
          <w:bCs/>
          <w:color w:val="000000"/>
        </w:rPr>
        <w:t xml:space="preserve">Weitere Informationen zur Konferenz sind in Kürze über </w:t>
      </w:r>
      <w:hyperlink r:id="rId33" w:history="1">
        <w:r w:rsidRPr="00935926">
          <w:rPr>
            <w:rStyle w:val="Hyperlink"/>
            <w:bCs/>
          </w:rPr>
          <w:t>https://conference.grde.eu/</w:t>
        </w:r>
      </w:hyperlink>
      <w:r>
        <w:rPr>
          <w:bCs/>
          <w:color w:val="000000"/>
        </w:rPr>
        <w:t xml:space="preserve"> abrufbar. Weitere Informationen zur DGV können unter </w:t>
      </w:r>
      <w:hyperlink r:id="rId34" w:history="1">
        <w:r w:rsidRPr="00935926">
          <w:rPr>
            <w:rStyle w:val="Hyperlink"/>
          </w:rPr>
          <w:t>https://www.grde.eu/</w:t>
        </w:r>
      </w:hyperlink>
      <w:r>
        <w:t xml:space="preserve"> </w:t>
      </w:r>
      <w:r>
        <w:rPr>
          <w:bCs/>
          <w:color w:val="000000"/>
        </w:rPr>
        <w:t xml:space="preserve">abgerufen werden. </w:t>
      </w:r>
    </w:p>
    <w:p w14:paraId="13657C27" w14:textId="77777777" w:rsidR="00FD0F78" w:rsidRDefault="00FD0F78" w:rsidP="00FD0F78">
      <w:pPr>
        <w:ind w:left="1418"/>
        <w:rPr>
          <w:bCs/>
          <w:color w:val="000000"/>
        </w:rPr>
      </w:pPr>
    </w:p>
    <w:p w14:paraId="3758A8F4" w14:textId="77777777" w:rsidR="00FD0F78" w:rsidRPr="00B22098" w:rsidRDefault="00FD0F78" w:rsidP="00FD0F78">
      <w:pPr>
        <w:ind w:left="1418"/>
      </w:pPr>
      <w:r w:rsidRPr="00B22098">
        <w:t>(II/3 Florian Schilling,</w:t>
      </w:r>
      <w:r>
        <w:t xml:space="preserve"> 07.07.2021)</w:t>
      </w:r>
      <w:r w:rsidRPr="00B22098">
        <w:t xml:space="preserve"> </w:t>
      </w:r>
    </w:p>
    <w:p w14:paraId="5F5668BD" w14:textId="77777777" w:rsidR="008E50C8" w:rsidRDefault="008E50C8" w:rsidP="008E50C8">
      <w:pPr>
        <w:ind w:left="1418"/>
      </w:pPr>
    </w:p>
    <w:p w14:paraId="10FCFB2C" w14:textId="77777777" w:rsidR="008E50C8" w:rsidRPr="00004857" w:rsidRDefault="008E50C8" w:rsidP="008E50C8">
      <w:pPr>
        <w:ind w:left="1418"/>
      </w:pPr>
    </w:p>
    <w:p w14:paraId="543C78A9" w14:textId="77777777" w:rsidR="00D97CC1" w:rsidRPr="0028439B" w:rsidRDefault="00462B02" w:rsidP="00D97CC1">
      <w:pPr>
        <w:jc w:val="right"/>
        <w:rPr>
          <w:b/>
          <w:sz w:val="18"/>
        </w:rPr>
      </w:pPr>
      <w:hyperlink w:anchor="_top" w:history="1">
        <w:r w:rsidR="00D97CC1" w:rsidRPr="0028439B">
          <w:rPr>
            <w:rStyle w:val="Hyperlink"/>
            <w:b/>
            <w:color w:val="auto"/>
            <w:sz w:val="18"/>
          </w:rPr>
          <w:t>Inhaltsverzeichnis</w:t>
        </w:r>
      </w:hyperlink>
    </w:p>
    <w:p w14:paraId="2EEDD5A5" w14:textId="77777777" w:rsidR="00D97CC1" w:rsidRDefault="00D97CC1" w:rsidP="00D97CC1">
      <w:pPr>
        <w:rPr>
          <w:b/>
          <w:bCs/>
          <w:sz w:val="28"/>
          <w:szCs w:val="28"/>
        </w:rPr>
      </w:pPr>
      <w:r>
        <w:rPr>
          <w:bCs/>
        </w:rPr>
        <w:br w:type="page"/>
      </w:r>
    </w:p>
    <w:p w14:paraId="7529E425" w14:textId="77777777" w:rsidR="001E367E" w:rsidRPr="00547E93" w:rsidRDefault="001E367E" w:rsidP="008E0157">
      <w:pPr>
        <w:pStyle w:val="berschrift1"/>
        <w:rPr>
          <w:b/>
        </w:rPr>
      </w:pPr>
      <w:bookmarkStart w:id="32" w:name="_Toc502842261"/>
      <w:bookmarkStart w:id="33" w:name="_Toc76732619"/>
      <w:r w:rsidRPr="00547E93">
        <w:rPr>
          <w:b/>
        </w:rPr>
        <w:lastRenderedPageBreak/>
        <w:t>HAUPTGESCHÄFTSSTELLE</w:t>
      </w:r>
      <w:bookmarkEnd w:id="32"/>
      <w:bookmarkEnd w:id="33"/>
      <w:r w:rsidRPr="00547E93">
        <w:rPr>
          <w:b/>
        </w:rPr>
        <w:t xml:space="preserve"> </w:t>
      </w:r>
    </w:p>
    <w:p w14:paraId="63224B09" w14:textId="77777777" w:rsidR="001E367E" w:rsidRPr="00547E93" w:rsidRDefault="001E367E" w:rsidP="00630EEA">
      <w:pPr>
        <w:tabs>
          <w:tab w:val="left" w:pos="1418"/>
        </w:tabs>
        <w:rPr>
          <w:b/>
          <w:sz w:val="28"/>
          <w:szCs w:val="28"/>
        </w:rPr>
      </w:pPr>
    </w:p>
    <w:p w14:paraId="35A5922E" w14:textId="74599010" w:rsidR="00FD0F78" w:rsidRPr="00D80259" w:rsidRDefault="00C67E44" w:rsidP="002706B9">
      <w:pPr>
        <w:pStyle w:val="2"/>
        <w:spacing w:before="0" w:after="0"/>
        <w:jc w:val="both"/>
      </w:pPr>
      <w:bookmarkStart w:id="34" w:name="_Toc76732620"/>
      <w:r>
        <w:t>2721</w:t>
      </w:r>
      <w:r w:rsidR="002A78B7" w:rsidRPr="00FC4977">
        <w:t>-</w:t>
      </w:r>
      <w:r w:rsidR="00AE3FD3" w:rsidRPr="00FC4977">
        <w:t>1</w:t>
      </w:r>
      <w:r w:rsidR="0088289E">
        <w:t>6</w:t>
      </w:r>
      <w:r w:rsidR="001E367E" w:rsidRPr="00FC4977">
        <w:tab/>
      </w:r>
      <w:r w:rsidR="00D80259">
        <w:t xml:space="preserve">Pressemitteilung: </w:t>
      </w:r>
      <w:r w:rsidR="004725CE">
        <w:t>Neues</w:t>
      </w:r>
      <w:r w:rsidR="00FD0F78" w:rsidRPr="00D80259">
        <w:t xml:space="preserve"> bundesweites „Zentrum </w:t>
      </w:r>
      <w:proofErr w:type="spellStart"/>
      <w:r w:rsidR="00FD0F78" w:rsidRPr="00D80259">
        <w:t>KlimaAnpassung</w:t>
      </w:r>
      <w:proofErr w:type="spellEnd"/>
      <w:r w:rsidR="00FD0F78" w:rsidRPr="00D80259">
        <w:t>“ für die Beratung von Kommunen</w:t>
      </w:r>
      <w:r w:rsidR="004725CE">
        <w:t xml:space="preserve"> eröffnet</w:t>
      </w:r>
      <w:bookmarkEnd w:id="34"/>
    </w:p>
    <w:p w14:paraId="2BE5B67E" w14:textId="77777777" w:rsidR="00D80259" w:rsidRDefault="00D80259" w:rsidP="002706B9">
      <w:pPr>
        <w:ind w:left="1418"/>
        <w:jc w:val="both"/>
        <w:rPr>
          <w:b/>
          <w:bCs/>
          <w:color w:val="000000"/>
        </w:rPr>
      </w:pPr>
    </w:p>
    <w:p w14:paraId="2696DA10" w14:textId="77777777" w:rsidR="00D80259" w:rsidRDefault="00D80259" w:rsidP="002706B9">
      <w:pPr>
        <w:ind w:left="1418"/>
        <w:jc w:val="both"/>
        <w:rPr>
          <w:b/>
          <w:bCs/>
          <w:color w:val="000000"/>
        </w:rPr>
      </w:pPr>
      <w:r w:rsidRPr="002C145B">
        <w:rPr>
          <w:b/>
        </w:rPr>
        <w:t>Pressemitteilung</w:t>
      </w:r>
      <w:r>
        <w:rPr>
          <w:b/>
        </w:rPr>
        <w:t xml:space="preserve"> </w:t>
      </w:r>
      <w:r w:rsidR="00304CDB">
        <w:rPr>
          <w:b/>
        </w:rPr>
        <w:t xml:space="preserve">des </w:t>
      </w:r>
      <w:r w:rsidR="00304CDB" w:rsidRPr="00304CDB">
        <w:rPr>
          <w:b/>
        </w:rPr>
        <w:t>Bundesministeriums für Umwelt, Naturschutz und nukleare Sicherheit (BMU</w:t>
      </w:r>
      <w:r w:rsidR="00304CDB">
        <w:t>)</w:t>
      </w:r>
      <w:r>
        <w:rPr>
          <w:b/>
        </w:rPr>
        <w:t>vom 07.07.2021</w:t>
      </w:r>
    </w:p>
    <w:p w14:paraId="04386CEF" w14:textId="77777777" w:rsidR="00D80259" w:rsidRDefault="00D80259" w:rsidP="002706B9">
      <w:pPr>
        <w:ind w:left="1418"/>
        <w:jc w:val="both"/>
        <w:rPr>
          <w:b/>
          <w:bCs/>
          <w:color w:val="000000"/>
        </w:rPr>
      </w:pPr>
    </w:p>
    <w:p w14:paraId="03B7CD7E" w14:textId="77777777" w:rsidR="00D80259" w:rsidRPr="00D80259" w:rsidRDefault="00D80259" w:rsidP="002706B9">
      <w:pPr>
        <w:ind w:left="1418"/>
        <w:jc w:val="both"/>
        <w:rPr>
          <w:b/>
          <w:bCs/>
          <w:color w:val="000000"/>
        </w:rPr>
      </w:pPr>
      <w:r w:rsidRPr="00D80259">
        <w:rPr>
          <w:b/>
          <w:bCs/>
          <w:color w:val="000000"/>
        </w:rPr>
        <w:t>Bundesumweltministerin Svenja Schulze hat heute den Startschuss für ein neues „Zentrum KlimaAnpassung“ gegeben. Von zentraler Stelle erhalten ab sofort Städte, Landkreise und Gemeinden kompetente Beratung für ihre eigenen Anstrengungen zur Klimaanpassung.</w:t>
      </w:r>
    </w:p>
    <w:p w14:paraId="3D5304E2" w14:textId="77777777" w:rsidR="00E41851" w:rsidRPr="00D80259" w:rsidRDefault="00E41851" w:rsidP="002706B9">
      <w:pPr>
        <w:ind w:left="1418"/>
        <w:jc w:val="both"/>
        <w:rPr>
          <w:bCs/>
          <w:color w:val="000000"/>
        </w:rPr>
      </w:pPr>
    </w:p>
    <w:p w14:paraId="34EF2F17" w14:textId="77777777" w:rsidR="00D80259" w:rsidRDefault="00D80259" w:rsidP="002706B9">
      <w:pPr>
        <w:ind w:left="1418"/>
        <w:jc w:val="both"/>
        <w:rPr>
          <w:bCs/>
          <w:color w:val="000000"/>
        </w:rPr>
      </w:pPr>
      <w:r w:rsidRPr="00D80259">
        <w:rPr>
          <w:bCs/>
          <w:color w:val="000000"/>
        </w:rPr>
        <w:t>Das Zentrum bündelt einschlägige Kompetenzen, Erfahrungen und Wissen, um mit lokalen Entscheidungsträgern und Entscheidungsträgerinnen individuelle Anpassungskonzepte zu entwickeln, breite öffentliche Aufmerksamkeit für das Thema zu schaffen und alle betroffenen Akteure zu vernetzen sowie maßgeschneiderte Fortbildungsmöglichkeiten anzubieten. Das „Zentrum KlimaAnpassung“ ist Teil des Drei-Punkte-Plans von BMU und kommunalen Spitzenverbänden zur Anpassung an den Klimawandel. An der Pressekonferenz zur Eröffnung nahm Professor Dr. Christoph Landscheidt, Vize-Präsident des Deutschen Städte- und Gemeindebundes, für die kommunalen Spitzenverbände teil.</w:t>
      </w:r>
    </w:p>
    <w:p w14:paraId="56EE48CA" w14:textId="77777777" w:rsidR="00D80259" w:rsidRPr="00D80259" w:rsidRDefault="00D80259" w:rsidP="002706B9">
      <w:pPr>
        <w:ind w:left="1418"/>
        <w:jc w:val="both"/>
        <w:rPr>
          <w:bCs/>
          <w:color w:val="000000"/>
        </w:rPr>
      </w:pPr>
    </w:p>
    <w:p w14:paraId="0E6B5982" w14:textId="77777777" w:rsidR="00D80259" w:rsidRDefault="00D80259" w:rsidP="002706B9">
      <w:pPr>
        <w:ind w:left="1418"/>
        <w:jc w:val="both"/>
        <w:rPr>
          <w:bCs/>
          <w:color w:val="000000"/>
        </w:rPr>
      </w:pPr>
      <w:r w:rsidRPr="00FA3E70">
        <w:rPr>
          <w:b/>
          <w:bCs/>
          <w:color w:val="000000"/>
        </w:rPr>
        <w:t>Bundesumweltministerin Svenja Schulze</w:t>
      </w:r>
      <w:r w:rsidRPr="00D80259">
        <w:rPr>
          <w:bCs/>
          <w:color w:val="000000"/>
        </w:rPr>
        <w:t>: „Die wichtigste Vorsorge im Einsatz gegen den Klimawandel ist entschlossener Klimaschutz. Aber auch für die nicht mehr vermeidbaren Folgen des Klimawandels ist eine umfassende Vorsorge nötig. Die Folgen des Klimawandels treffen Städte, Landkreise und Gemeinden als Erstes. Das macht die Kommunen zu Schlüsselakteuren bei der Anpassung. Dabei ist jede Kommune anders betroffen. Eine Stadt erlebt immer häufiger Hochwasser, eine andere Gemeinde kämpft mit Wasserknappheit, und in der dritten leiden ältere Menschen unter der Hitze der Großstadt. Jede dieser Kommunen soll künftig die Klimaanpassung umsetzen, die zu ihr passt. Die Kolleginnen und Kollegen im Zentrum KlimaAnpassung weisen ab heute als „Lotsen“ den Weg in Richtung klimaangepasste Kommune. Kommunen profitieren doppelt, denn klimaangepasste Städte und Landkreise sind lebenswert: Begrünte Dächer und Gebäudefassaden, Wasserflächen und verschattete Plätze lindern Hitze, bereichern die Artenvielfalt in der Stadt und steigern die Aufenthaltsqualität. Anpassung sichert die ökonomischen Grundlagen und ist ein Mehrwert für die Lebensqualität der gesamten Gesellschaft.“ </w:t>
      </w:r>
    </w:p>
    <w:p w14:paraId="475587D3" w14:textId="77777777" w:rsidR="00D80259" w:rsidRPr="00D80259" w:rsidRDefault="00D80259" w:rsidP="00D80259">
      <w:pPr>
        <w:ind w:left="1418"/>
        <w:rPr>
          <w:bCs/>
          <w:color w:val="000000"/>
        </w:rPr>
      </w:pPr>
    </w:p>
    <w:p w14:paraId="37487AF3" w14:textId="77777777" w:rsidR="00D80259" w:rsidRDefault="00D80259" w:rsidP="002706B9">
      <w:pPr>
        <w:ind w:left="1418"/>
        <w:jc w:val="both"/>
        <w:rPr>
          <w:bCs/>
          <w:color w:val="000000"/>
        </w:rPr>
      </w:pPr>
      <w:r w:rsidRPr="00FA3E70">
        <w:rPr>
          <w:b/>
          <w:bCs/>
          <w:color w:val="000000"/>
        </w:rPr>
        <w:t>Burkhard Jung, Präsident des Deutschen Städtetages</w:t>
      </w:r>
      <w:r w:rsidRPr="00D80259">
        <w:rPr>
          <w:bCs/>
          <w:color w:val="000000"/>
        </w:rPr>
        <w:t xml:space="preserve"> und Oberbürgermeister der Stadt Leipzig: „Engagierter Klimaschutz geht in den Städten Hand in Hand mit einer Anpassung an den Klimawandel, den wir bereits Tag für Tag erleben. Klimafolgen wie Hitzewellen, Dürren und Starkregen sind nicht wegzureden und sind Realität. Vorsorge dagegen steht </w:t>
      </w:r>
      <w:r w:rsidRPr="00D80259">
        <w:rPr>
          <w:bCs/>
          <w:color w:val="000000"/>
        </w:rPr>
        <w:lastRenderedPageBreak/>
        <w:t>bei den Städten ganz oben auf der Tagesordnung. Dabei hilft ihnen zukünftig die qualifizierte Beratung durch das neu geschaffene Zentrum KlimaAnpassung. Neben einem offenen Austausch über gute Anpassungskonzepte brauchen die Kommunen stärkere finanzielle Unterstützung durch Bund und Länder. Wir müssen zum Beispiel die Gebäude fit machen für den Klimawandel und noch mehr in den ÖPNV investieren.“</w:t>
      </w:r>
    </w:p>
    <w:p w14:paraId="72A19930" w14:textId="77777777" w:rsidR="00D80259" w:rsidRPr="00D80259" w:rsidRDefault="00D80259" w:rsidP="002706B9">
      <w:pPr>
        <w:ind w:left="1418"/>
        <w:jc w:val="both"/>
        <w:rPr>
          <w:bCs/>
          <w:color w:val="000000"/>
        </w:rPr>
      </w:pPr>
    </w:p>
    <w:p w14:paraId="3C7EA945" w14:textId="77777777" w:rsidR="00D80259" w:rsidRDefault="00D80259" w:rsidP="002706B9">
      <w:pPr>
        <w:ind w:left="1418"/>
        <w:jc w:val="both"/>
        <w:rPr>
          <w:bCs/>
          <w:color w:val="000000"/>
        </w:rPr>
      </w:pPr>
      <w:r w:rsidRPr="00FA3E70">
        <w:rPr>
          <w:b/>
          <w:bCs/>
          <w:color w:val="000000"/>
        </w:rPr>
        <w:t>Reinhard Sager, Präsident des Deutschen Landkreistages</w:t>
      </w:r>
      <w:r w:rsidRPr="00D80259">
        <w:rPr>
          <w:bCs/>
          <w:color w:val="000000"/>
        </w:rPr>
        <w:t xml:space="preserve"> und Landrat des Kreises Ostholstein: „Wir begrüßen es, dass der Bund ebenso wie beim Klimaschutz nun auch die kommunale Klimaanpassung durch ein bundesweites Beratungsangebot für die Landkreise, Städte und Gemeinden unterstützt. Die Auswirkungen und Herausforderungen des Klimawandels sind in den Landkreisen bereits spürbar, aber stellen sich bundesweit betrachtet sehr unterschiedlich dar. Die Landkreise sind daher die richtige Ebene, um angepasste Anpassungsstrategien zu entwickeln und umzusetzen. Das neue Zentrum KlimaAnpassung kann hierbei beraten und unterstützen.“</w:t>
      </w:r>
    </w:p>
    <w:p w14:paraId="62308605" w14:textId="77777777" w:rsidR="00D80259" w:rsidRPr="00D80259" w:rsidRDefault="00D80259" w:rsidP="002706B9">
      <w:pPr>
        <w:ind w:left="1418"/>
        <w:jc w:val="both"/>
        <w:rPr>
          <w:bCs/>
          <w:color w:val="000000"/>
        </w:rPr>
      </w:pPr>
    </w:p>
    <w:p w14:paraId="7A92525E" w14:textId="77777777" w:rsidR="00D80259" w:rsidRDefault="00D80259" w:rsidP="002706B9">
      <w:pPr>
        <w:ind w:left="1418"/>
        <w:jc w:val="both"/>
        <w:rPr>
          <w:bCs/>
          <w:color w:val="000000"/>
        </w:rPr>
      </w:pPr>
      <w:r w:rsidRPr="00FA3E70">
        <w:rPr>
          <w:b/>
          <w:bCs/>
          <w:color w:val="000000"/>
        </w:rPr>
        <w:t>Christoph Landscheidt, Vize-Präsident des Deutschen Städte- und Gemeindebundes</w:t>
      </w:r>
      <w:r w:rsidRPr="00D80259">
        <w:rPr>
          <w:bCs/>
          <w:color w:val="000000"/>
        </w:rPr>
        <w:t xml:space="preserve"> und Bürgermeister der Stadt Kamp-Lintfort: „Die aus dem Klimawandel resultierenden Risiken für Bürgerinnen und Bürger, die öffentliche Infrastruktur, die Wirtschaft sowie für die Natur und Umwelt werden weiter ansteigen. Dies gilt sowohl für dichtbesiedelte Städten als auch für Gemeinden in ländlichen Räumen. Die Anpassung an den Klimawandel ist daher eine zentrale Zukunftsaufgabe der Kommunen. Zur Bewältigung dieser Aufgabe bedarf es starker und handlungsfähiger Städte und Gemeinden. Neben der wichtigen Förderung von kommunalen Klimaschutz- und Anpassungsmaßnahmen, etwa im Rahmen der Nationalen Klimaschutzinitiative (NKI), besteht auch ein Bedarf an Beratung, konzeptioneller Unterstützung und Vernetzung. Der Deutsche Städte- und Gemeindebund begrüßt daher die Einrichtung des neuen Zentrums KlimaAnpassung als wichtigen Baustein einer gemeinsamen Klimaanpassungsstrategie von Bund, Ländern und Kommunen.“</w:t>
      </w:r>
    </w:p>
    <w:p w14:paraId="5A6ED735" w14:textId="77777777" w:rsidR="00D80259" w:rsidRPr="00D80259" w:rsidRDefault="00D80259" w:rsidP="00D80259">
      <w:pPr>
        <w:ind w:left="1418"/>
        <w:rPr>
          <w:bCs/>
          <w:color w:val="000000"/>
        </w:rPr>
      </w:pPr>
    </w:p>
    <w:p w14:paraId="6942FE38" w14:textId="61158B73" w:rsidR="00D80259" w:rsidRDefault="00D80259" w:rsidP="002706B9">
      <w:pPr>
        <w:ind w:left="1418"/>
        <w:jc w:val="both"/>
        <w:rPr>
          <w:bCs/>
          <w:color w:val="000000"/>
        </w:rPr>
      </w:pPr>
      <w:r w:rsidRPr="00D80259">
        <w:rPr>
          <w:bCs/>
          <w:color w:val="000000"/>
        </w:rPr>
        <w:t xml:space="preserve">Im März 2021 hatten die Bundesumweltministerin und die Präsidenten der kommunalen Spitzenverbände einen schnell wirksamen Drei-Punkte-Plan zur Anpassung an den Klimawandel vereinbart. Ein wesentliches Element ist das heute gestartete bundesweite Zentrum KlimaAnpassung für Kommunen. Im Rahmen einer europaweiten Ausschreibung hat das Konsortium Difu/adelphi den Zuschlag für den Aufbau und den Betrieb des Zentrums KlimaAnpassung vorerst bis 2024 erhalten. Das Zentrum unterstützt deutschlandweit Kommunen und soziale Einrichtungen mit praxisorientierten Beratungen, Förderinformationen, bewährten Praxisbeispielen, Fortbildungen und Formaten zum Kontakt- und Erfahrungsaustausch rund um das Thema Klimaanpassung. Über die telefonische Hotline 030 390 01 201 sowie virtuelle Beratungstermine, die über die Website www.zentrum-klimaanpassung.de buchbar sind, stehen eine Reihe von Fachexpertinnen und Fachexperten mit Praxiswissen zur Verfügung. Konkrete Fragestellungen zu den verschiedenen Aspekten der Klimaanpassung können an die </w:t>
      </w:r>
      <w:r w:rsidR="002706B9" w:rsidRPr="00D80259">
        <w:rPr>
          <w:bCs/>
          <w:color w:val="000000"/>
        </w:rPr>
        <w:t>E-Mail</w:t>
      </w:r>
      <w:r w:rsidRPr="00D80259">
        <w:rPr>
          <w:bCs/>
          <w:color w:val="000000"/>
        </w:rPr>
        <w:t>-Adresse des Zentrums unter beratung@zentrum-klimaanpassung.de gerichtet werden.</w:t>
      </w:r>
    </w:p>
    <w:p w14:paraId="4A1F8EBF" w14:textId="77777777" w:rsidR="00D80259" w:rsidRPr="00D80259" w:rsidRDefault="00D80259" w:rsidP="00D80259">
      <w:pPr>
        <w:ind w:left="1418"/>
        <w:rPr>
          <w:bCs/>
          <w:color w:val="000000"/>
        </w:rPr>
      </w:pPr>
    </w:p>
    <w:p w14:paraId="37B41E83" w14:textId="77777777" w:rsidR="00D80259" w:rsidRDefault="00D80259" w:rsidP="002706B9">
      <w:pPr>
        <w:ind w:left="1418"/>
        <w:jc w:val="both"/>
        <w:rPr>
          <w:bCs/>
          <w:color w:val="000000"/>
        </w:rPr>
      </w:pPr>
      <w:r w:rsidRPr="00D80259">
        <w:rPr>
          <w:bCs/>
          <w:color w:val="000000"/>
        </w:rPr>
        <w:t>Neben Kommunen richtet sich das Zentrum KlimaAnpassung auch an soziale Einrichtungen. Denn bei der lokalen Klimaanpassung kommen sehr oft kleinere Vereine, Initiativen, Interessengruppen oder Stiftungen wie Obdachlosenheime, Frauenhäuser oder Nachbarschaftszentren ins Spiel. Den großen Bedarf bei diesen Organisationen hat die Erfahrung mit dem Förderprogramm „Klimaanpassung in sozialen Einrichtungen“ gezeigt. Rund die Hälfte der eingegangenen ersten 600 Anträge wurden durch diese Einrichtungen gestellt, mit einem Fördervolumen von rund 50 Millionen Euro.</w:t>
      </w:r>
    </w:p>
    <w:p w14:paraId="14035B5D" w14:textId="77777777" w:rsidR="00D80259" w:rsidRPr="00D80259" w:rsidRDefault="00D80259" w:rsidP="002706B9">
      <w:pPr>
        <w:ind w:left="1418"/>
        <w:jc w:val="both"/>
        <w:rPr>
          <w:bCs/>
          <w:color w:val="000000"/>
        </w:rPr>
      </w:pPr>
    </w:p>
    <w:p w14:paraId="5FD4B51B" w14:textId="77777777" w:rsidR="00D80259" w:rsidRDefault="00D80259" w:rsidP="002706B9">
      <w:pPr>
        <w:ind w:left="1418"/>
        <w:jc w:val="both"/>
        <w:rPr>
          <w:bCs/>
          <w:color w:val="000000"/>
        </w:rPr>
      </w:pPr>
      <w:r w:rsidRPr="00D80259">
        <w:rPr>
          <w:bCs/>
          <w:color w:val="000000"/>
        </w:rPr>
        <w:t>Das zweite Element des Drei-Punkte-Plans ist der Aufbau von lokalem, nachhaltigem Anpassungsmanagement über das BMU-Förderprogramm „Maßnahmen zur Anpassung an den Klimawandel“. In vielen Fällen wird dies über lokale Anpassungsmanager und Anpassungsmanagerinnen geschehen, die die Umsetzung der Anpassungskonzepte in der Praxis begleiten und lokale Anpassungsstrategien konsequent auf Nachhaltigkeit sowie Umwelt- und Klimaverträglichkeit ausrichten. Ab Mitte 2021 sollen die ersten Ausschreibungen laufen. </w:t>
      </w:r>
    </w:p>
    <w:p w14:paraId="7E34C118" w14:textId="77777777" w:rsidR="00D80259" w:rsidRPr="00D80259" w:rsidRDefault="00D80259" w:rsidP="002706B9">
      <w:pPr>
        <w:ind w:left="1418"/>
        <w:jc w:val="both"/>
        <w:rPr>
          <w:bCs/>
          <w:color w:val="000000"/>
        </w:rPr>
      </w:pPr>
    </w:p>
    <w:p w14:paraId="48E0B253" w14:textId="77777777" w:rsidR="00D80259" w:rsidRPr="00D80259" w:rsidRDefault="00D80259" w:rsidP="002706B9">
      <w:pPr>
        <w:ind w:left="1418"/>
        <w:jc w:val="both"/>
        <w:rPr>
          <w:bCs/>
          <w:color w:val="000000"/>
        </w:rPr>
      </w:pPr>
      <w:r w:rsidRPr="00D80259">
        <w:rPr>
          <w:bCs/>
          <w:color w:val="000000"/>
        </w:rPr>
        <w:t>Drittens werden besonders innovative Projekte der Klimaanpassung über den Wettbewerb „Blauer Kompass“ ausgezeichnet. Künftig werden Kommunen in einer eigenen Wettbewerbskategorie teilnehmen. Ziel ist es, die besten Projekte bundesweit sichtbar zu machen, andere Kommunen in Deutschland zu inspirieren und damit künftig noch mehr innovative Klimaanpassungsprojekte zu entwickeln. Bis Sommer 2021 wird das Wettbewerbsbüro seine Arbeit aufnehmen.</w:t>
      </w:r>
    </w:p>
    <w:p w14:paraId="6F25F6B0" w14:textId="77777777" w:rsidR="00D80259" w:rsidRDefault="00D80259" w:rsidP="00FB5ACF">
      <w:pPr>
        <w:ind w:left="1418"/>
      </w:pPr>
    </w:p>
    <w:p w14:paraId="1E75A44B" w14:textId="77777777" w:rsidR="00E41851" w:rsidRDefault="00E41851" w:rsidP="00FB5ACF">
      <w:pPr>
        <w:ind w:left="1418"/>
      </w:pPr>
    </w:p>
    <w:p w14:paraId="222C8985" w14:textId="77777777" w:rsidR="0028439B" w:rsidRPr="0028439B" w:rsidRDefault="00462B02" w:rsidP="0028439B">
      <w:pPr>
        <w:jc w:val="right"/>
        <w:rPr>
          <w:b/>
          <w:sz w:val="18"/>
        </w:rPr>
      </w:pPr>
      <w:hyperlink w:anchor="_top" w:history="1">
        <w:r w:rsidR="0028439B" w:rsidRPr="0028439B">
          <w:rPr>
            <w:rStyle w:val="Hyperlink"/>
            <w:b/>
            <w:color w:val="auto"/>
            <w:sz w:val="18"/>
          </w:rPr>
          <w:t>Inhaltsverzeichnis</w:t>
        </w:r>
      </w:hyperlink>
    </w:p>
    <w:p w14:paraId="21A4769B" w14:textId="77777777" w:rsidR="001E367E" w:rsidRPr="00547E93" w:rsidRDefault="001E367E" w:rsidP="00630EEA">
      <w:pPr>
        <w:tabs>
          <w:tab w:val="right" w:pos="9071"/>
        </w:tabs>
        <w:rPr>
          <w:b/>
        </w:rPr>
      </w:pPr>
      <w:r w:rsidRPr="00547E93">
        <w:rPr>
          <w:bCs/>
        </w:rPr>
        <w:br w:type="page"/>
      </w:r>
    </w:p>
    <w:p w14:paraId="3D66D021" w14:textId="77777777" w:rsidR="00D82615" w:rsidRPr="00D64B28" w:rsidRDefault="00D82615" w:rsidP="00D82615">
      <w:pPr>
        <w:rPr>
          <w:b/>
          <w:sz w:val="40"/>
          <w:highlight w:val="lightGray"/>
        </w:rPr>
      </w:pPr>
      <w:bookmarkStart w:id="35" w:name="_Toc371428141"/>
      <w:bookmarkStart w:id="36" w:name="_Toc371428208"/>
      <w:r w:rsidRPr="00D64B28">
        <w:rPr>
          <w:b/>
          <w:sz w:val="40"/>
          <w:highlight w:val="lightGray"/>
        </w:rPr>
        <w:lastRenderedPageBreak/>
        <w:t xml:space="preserve">HAUPTGESCHÄFTSSTELLE </w:t>
      </w:r>
    </w:p>
    <w:p w14:paraId="2C4B6831" w14:textId="77777777" w:rsidR="00D82615" w:rsidRPr="00547E93" w:rsidRDefault="00D82615" w:rsidP="00D82615">
      <w:pPr>
        <w:tabs>
          <w:tab w:val="left" w:pos="1418"/>
        </w:tabs>
        <w:rPr>
          <w:b/>
          <w:sz w:val="28"/>
          <w:szCs w:val="28"/>
        </w:rPr>
      </w:pPr>
    </w:p>
    <w:p w14:paraId="63E8F059" w14:textId="2120F800" w:rsidR="00D80259" w:rsidRPr="00D80259" w:rsidRDefault="00C67E44" w:rsidP="00D80259">
      <w:pPr>
        <w:pStyle w:val="2"/>
        <w:spacing w:before="0" w:after="0"/>
      </w:pPr>
      <w:bookmarkStart w:id="37" w:name="_Toc76732621"/>
      <w:r>
        <w:t>2721</w:t>
      </w:r>
      <w:r w:rsidR="00D82615">
        <w:t>-</w:t>
      </w:r>
      <w:r w:rsidR="00AE3FD3">
        <w:t>1</w:t>
      </w:r>
      <w:r w:rsidR="0088289E">
        <w:t>7</w:t>
      </w:r>
      <w:r w:rsidR="00D82615" w:rsidRPr="00547E93">
        <w:tab/>
      </w:r>
      <w:r w:rsidR="00D80259" w:rsidRPr="00D80259">
        <w:t>Statement: Impfquote weiter steigern – Einfache Angebote und Information entscheidend</w:t>
      </w:r>
      <w:bookmarkEnd w:id="37"/>
    </w:p>
    <w:p w14:paraId="7A596A48" w14:textId="77777777" w:rsidR="00D80259" w:rsidRPr="00D80259" w:rsidRDefault="00D80259" w:rsidP="00D80259">
      <w:pPr>
        <w:ind w:left="1418"/>
        <w:rPr>
          <w:bCs/>
          <w:color w:val="000000"/>
        </w:rPr>
      </w:pPr>
    </w:p>
    <w:p w14:paraId="534F5832" w14:textId="22D8D140" w:rsidR="00D80259" w:rsidRPr="00DB4C25" w:rsidRDefault="00D80259" w:rsidP="002706B9">
      <w:pPr>
        <w:ind w:left="1418"/>
        <w:jc w:val="both"/>
        <w:rPr>
          <w:b/>
          <w:color w:val="000000"/>
        </w:rPr>
      </w:pPr>
      <w:r w:rsidRPr="00DB4C25">
        <w:rPr>
          <w:b/>
          <w:color w:val="000000"/>
        </w:rPr>
        <w:t>Statement von Dr. Gerd Landsberg, Hauptgeschäftsführer des Deutschen Städte- und Gemeindebundes, gegenüber dem Redaktionsnetzwerk Deutschland RND vom 8. Juli 2021</w:t>
      </w:r>
    </w:p>
    <w:p w14:paraId="25F762BD" w14:textId="77777777" w:rsidR="00D80259" w:rsidRPr="00D80259" w:rsidRDefault="00D80259" w:rsidP="002706B9">
      <w:pPr>
        <w:ind w:left="1418"/>
        <w:jc w:val="both"/>
        <w:rPr>
          <w:bCs/>
          <w:color w:val="000000"/>
        </w:rPr>
      </w:pPr>
    </w:p>
    <w:p w14:paraId="1E93A7B5" w14:textId="3B04BEDD" w:rsidR="00D80259" w:rsidRPr="00D80259" w:rsidRDefault="00FA3E70" w:rsidP="002706B9">
      <w:pPr>
        <w:ind w:left="1418"/>
        <w:jc w:val="both"/>
        <w:rPr>
          <w:bCs/>
        </w:rPr>
      </w:pPr>
      <w:r>
        <w:rPr>
          <w:bCs/>
        </w:rPr>
        <w:t>„</w:t>
      </w:r>
      <w:r w:rsidR="00D80259" w:rsidRPr="00D80259">
        <w:rPr>
          <w:bCs/>
        </w:rPr>
        <w:t xml:space="preserve">Um die Pandemie zu besiegen und die neuen Virus-Varianten in Schach zu halten, muss es gelingen, möglichst viele Menschen von der Impfung zu überzeugen. Wir müssen alles unternehmen, um das Impfen so einfach wie möglich zu machen. Dazu können Impfangebote ohne Termine – wie sie teilweise schon praktiziert werden – und mobile Impfteams, die insbesondere in Problemvierteln unkompliziert Angebote unterbreiten, beitragen. Wichtig ist auch eine kontinuierliche Informations- und Überzeugungsarbeit auf Bundes-, Landes und kommunaler Ebene, das trotz der niedrigen Inzidenzzahlen die Pandemie leider nicht vorbei ist und nur durch Disziplin und Impfungen. </w:t>
      </w:r>
    </w:p>
    <w:p w14:paraId="21958354" w14:textId="77777777" w:rsidR="00D80259" w:rsidRPr="00D80259" w:rsidRDefault="00D80259" w:rsidP="002706B9">
      <w:pPr>
        <w:ind w:left="1418"/>
        <w:jc w:val="both"/>
        <w:rPr>
          <w:bCs/>
          <w:color w:val="000000"/>
        </w:rPr>
      </w:pPr>
    </w:p>
    <w:p w14:paraId="7FDBE64F" w14:textId="77777777" w:rsidR="00D80259" w:rsidRPr="00D80259" w:rsidRDefault="00D80259" w:rsidP="002706B9">
      <w:pPr>
        <w:ind w:left="1418"/>
        <w:jc w:val="both"/>
        <w:rPr>
          <w:bCs/>
        </w:rPr>
      </w:pPr>
      <w:r w:rsidRPr="00D80259">
        <w:rPr>
          <w:bCs/>
        </w:rPr>
        <w:t xml:space="preserve">Um die Impfungen für die Menschen attraktiver zu machen und möglichst viele Unentschlossene zu überzeugen, ist es wichtig, die Vorteile einer Impfung deutlich zu machen. Neben dem Schutz der Gesundheit gehören dazu auch im Alltag spürbare Vorteile für Geimpfte, sei es bei einem Restaurantbesuch im Innenbereich, bei Hotelaufenthalten oder bei der Rückkehr aus dem Auslandsurlaub. Es sollte deshalb nach Möglichkeit vermieden werden, dass auch für vollständig Geimpfte Quarantänepflichten aufrechterhalten bleiben. Die Grundsätze „Abstand und Maskenpflicht“, dort wo viele Menschen eng beieinander sind, müssen bis auf weiteres auch für Geimpfte gelten. Alles andere wäre ohnehin kaum zu kontrollieren. </w:t>
      </w:r>
    </w:p>
    <w:p w14:paraId="321F58C4" w14:textId="77777777" w:rsidR="00D80259" w:rsidRPr="00D80259" w:rsidRDefault="00D80259" w:rsidP="002706B9">
      <w:pPr>
        <w:ind w:left="1418"/>
        <w:jc w:val="both"/>
        <w:rPr>
          <w:bCs/>
          <w:color w:val="000000"/>
        </w:rPr>
      </w:pPr>
    </w:p>
    <w:p w14:paraId="779D189D" w14:textId="1DF28335" w:rsidR="00D80259" w:rsidRPr="00D80259" w:rsidRDefault="00D80259" w:rsidP="002706B9">
      <w:pPr>
        <w:ind w:left="1418"/>
        <w:jc w:val="both"/>
        <w:rPr>
          <w:bCs/>
          <w:color w:val="000000"/>
        </w:rPr>
      </w:pPr>
      <w:r w:rsidRPr="00D80259">
        <w:rPr>
          <w:bCs/>
        </w:rPr>
        <w:t>Zusätzliche materielle Vorteile oder Impfanreize sind nicht zielführend. Allerdings können symbolische Aktionen, wie etwa die Verlosung eines Fahrrads unter geimpften Personen, die Aufmerksamkeit für dieses Thema erhöhen und einen zusätzlichen Anreiz schaffen. Wesentlich wichtiger ist es aber, alle Menschen mit guter und sachlicher Information von der Schutzwirkung der Impfung und den damit verbundenen Vorteilen für Freiheit und Gesundheit zu überzeugen.</w:t>
      </w:r>
      <w:r w:rsidR="00FA3E70">
        <w:rPr>
          <w:bCs/>
        </w:rPr>
        <w:t>“</w:t>
      </w:r>
      <w:r w:rsidRPr="00D80259">
        <w:rPr>
          <w:bCs/>
        </w:rPr>
        <w:t xml:space="preserve">  </w:t>
      </w:r>
    </w:p>
    <w:p w14:paraId="60C62ED4" w14:textId="77777777" w:rsidR="008E50C8" w:rsidRDefault="008E50C8" w:rsidP="008E50C8">
      <w:pPr>
        <w:ind w:left="1418"/>
      </w:pPr>
    </w:p>
    <w:p w14:paraId="2DFF5528" w14:textId="77777777" w:rsidR="008E50C8" w:rsidRPr="00004857" w:rsidRDefault="008E50C8" w:rsidP="008E50C8">
      <w:pPr>
        <w:ind w:left="1418"/>
      </w:pPr>
    </w:p>
    <w:p w14:paraId="3772A6B7" w14:textId="77777777" w:rsidR="005A534D" w:rsidRPr="00547E93" w:rsidRDefault="005A534D" w:rsidP="005A534D">
      <w:pPr>
        <w:ind w:left="1418"/>
      </w:pPr>
    </w:p>
    <w:p w14:paraId="44728363" w14:textId="77777777" w:rsidR="00D82615" w:rsidRPr="0028439B" w:rsidRDefault="00462B02" w:rsidP="00D82615">
      <w:pPr>
        <w:jc w:val="right"/>
        <w:rPr>
          <w:b/>
          <w:sz w:val="18"/>
        </w:rPr>
      </w:pPr>
      <w:hyperlink w:anchor="_top" w:history="1">
        <w:r w:rsidR="00D82615" w:rsidRPr="0028439B">
          <w:rPr>
            <w:rStyle w:val="Hyperlink"/>
            <w:b/>
            <w:color w:val="auto"/>
            <w:sz w:val="18"/>
          </w:rPr>
          <w:t>Inhaltsverzeichnis</w:t>
        </w:r>
      </w:hyperlink>
    </w:p>
    <w:p w14:paraId="78273CAF" w14:textId="60F4F816" w:rsidR="00EC0455" w:rsidRDefault="00EC0455">
      <w:pPr>
        <w:rPr>
          <w:bCs/>
        </w:rPr>
      </w:pPr>
      <w:r>
        <w:rPr>
          <w:bCs/>
        </w:rPr>
        <w:br w:type="page"/>
      </w:r>
    </w:p>
    <w:p w14:paraId="5A1938FD" w14:textId="77777777" w:rsidR="00C071B5" w:rsidRPr="00D64B28" w:rsidRDefault="00C071B5" w:rsidP="00C071B5">
      <w:pPr>
        <w:rPr>
          <w:b/>
          <w:sz w:val="40"/>
          <w:highlight w:val="lightGray"/>
        </w:rPr>
      </w:pPr>
      <w:r w:rsidRPr="00D64B28">
        <w:rPr>
          <w:b/>
          <w:sz w:val="40"/>
          <w:highlight w:val="lightGray"/>
        </w:rPr>
        <w:lastRenderedPageBreak/>
        <w:t xml:space="preserve">HAUPTGESCHÄFTSSTELLE </w:t>
      </w:r>
    </w:p>
    <w:p w14:paraId="14AC2112" w14:textId="77777777" w:rsidR="00C071B5" w:rsidRPr="00547E93" w:rsidRDefault="00C071B5" w:rsidP="00C071B5">
      <w:pPr>
        <w:tabs>
          <w:tab w:val="left" w:pos="1418"/>
        </w:tabs>
        <w:rPr>
          <w:b/>
          <w:sz w:val="28"/>
          <w:szCs w:val="28"/>
        </w:rPr>
      </w:pPr>
    </w:p>
    <w:p w14:paraId="3A7790BC" w14:textId="353FE25C" w:rsidR="00C071B5" w:rsidRDefault="00C071B5" w:rsidP="00C071B5">
      <w:pPr>
        <w:pStyle w:val="2"/>
        <w:spacing w:before="0" w:after="0"/>
      </w:pPr>
      <w:bookmarkStart w:id="38" w:name="_Toc76732622"/>
      <w:r>
        <w:t>2721-1</w:t>
      </w:r>
      <w:r w:rsidR="0088289E">
        <w:t>8</w:t>
      </w:r>
      <w:r w:rsidRPr="00547E93">
        <w:tab/>
      </w:r>
      <w:r w:rsidRPr="00D80259">
        <w:t>Statement:</w:t>
      </w:r>
      <w:r>
        <w:rPr>
          <w:bCs w:val="0"/>
        </w:rPr>
        <w:t xml:space="preserve"> </w:t>
      </w:r>
      <w:r w:rsidRPr="00C071B5">
        <w:t>Impfungen weiter beschleunigen</w:t>
      </w:r>
      <w:r>
        <w:rPr>
          <w:bCs w:val="0"/>
        </w:rPr>
        <w:t xml:space="preserve"> – </w:t>
      </w:r>
      <w:r w:rsidRPr="00C071B5">
        <w:t>Anreize</w:t>
      </w:r>
      <w:r>
        <w:t xml:space="preserve"> </w:t>
      </w:r>
      <w:r w:rsidRPr="00C071B5">
        <w:t xml:space="preserve">schaffen </w:t>
      </w:r>
      <w:r>
        <w:t>–</w:t>
      </w:r>
      <w:r w:rsidRPr="00C071B5">
        <w:t xml:space="preserve"> Bußgeldbürokratie</w:t>
      </w:r>
      <w:r>
        <w:t xml:space="preserve"> </w:t>
      </w:r>
      <w:r w:rsidRPr="00C071B5">
        <w:t>vermeiden</w:t>
      </w:r>
      <w:bookmarkEnd w:id="38"/>
    </w:p>
    <w:p w14:paraId="3BE9203C" w14:textId="79866859" w:rsidR="00C071B5" w:rsidRPr="00C071B5" w:rsidRDefault="00C071B5" w:rsidP="00C071B5">
      <w:pPr>
        <w:ind w:left="1418"/>
        <w:jc w:val="both"/>
        <w:rPr>
          <w:bCs/>
        </w:rPr>
      </w:pPr>
    </w:p>
    <w:p w14:paraId="17F8462E" w14:textId="1F7CF311" w:rsidR="00C071B5" w:rsidRDefault="000859F3" w:rsidP="00C071B5">
      <w:pPr>
        <w:ind w:left="1418"/>
        <w:jc w:val="both"/>
        <w:rPr>
          <w:b/>
        </w:rPr>
      </w:pPr>
      <w:r w:rsidRPr="003F6048">
        <w:rPr>
          <w:b/>
        </w:rPr>
        <w:t xml:space="preserve">Statement von DStGB-Hauptgeschäftsführer Dr. Gerd Landsberg vom </w:t>
      </w:r>
      <w:r>
        <w:rPr>
          <w:b/>
        </w:rPr>
        <w:t>06.07.2021</w:t>
      </w:r>
    </w:p>
    <w:p w14:paraId="17859351" w14:textId="77777777" w:rsidR="000859F3" w:rsidRPr="00C071B5" w:rsidRDefault="000859F3" w:rsidP="00C071B5">
      <w:pPr>
        <w:ind w:left="1418"/>
        <w:jc w:val="both"/>
        <w:rPr>
          <w:bCs/>
        </w:rPr>
      </w:pPr>
    </w:p>
    <w:p w14:paraId="7C610B83" w14:textId="32C2377E" w:rsidR="00C071B5" w:rsidRDefault="00C071B5" w:rsidP="00C071B5">
      <w:pPr>
        <w:ind w:left="1418"/>
        <w:jc w:val="both"/>
        <w:rPr>
          <w:bCs/>
        </w:rPr>
      </w:pPr>
      <w:r w:rsidRPr="00C071B5">
        <w:rPr>
          <w:bCs/>
        </w:rPr>
        <w:t>Wenn wir die Pandemie besiegen wollen, muss das Impftempo weiter beschleunigt werden. Dazu gehören Impfangebote ohne Termine – wie sie teilweise schon praktiziert werden – und mobile Impfteams, die insbesondere in Problemvierteln unkompliziert Angebote unterbreiten, nach Möglichkeit auch durch eine Einmalimpfung mit Johnson &amp; Johnson. Dazu gehört zusätzlich regelmäßige Informations- und Überzeugungsarbeit auf Bundes-, Landes und kommunaler Ebene, dass trotz der niedrigen Inzidenzzahlen die Pandemie leider nicht vorbei ist.</w:t>
      </w:r>
    </w:p>
    <w:p w14:paraId="5FD7AAEC" w14:textId="77777777" w:rsidR="00C071B5" w:rsidRPr="00C071B5" w:rsidRDefault="00C071B5" w:rsidP="00C071B5">
      <w:pPr>
        <w:ind w:left="1418"/>
        <w:jc w:val="both"/>
        <w:rPr>
          <w:bCs/>
        </w:rPr>
      </w:pPr>
    </w:p>
    <w:p w14:paraId="3203A4C4" w14:textId="6FC50AE1" w:rsidR="00C071B5" w:rsidRDefault="00C071B5" w:rsidP="00C071B5">
      <w:pPr>
        <w:ind w:left="1418"/>
        <w:jc w:val="both"/>
        <w:rPr>
          <w:bCs/>
        </w:rPr>
      </w:pPr>
      <w:r w:rsidRPr="00C071B5">
        <w:rPr>
          <w:bCs/>
        </w:rPr>
        <w:t>Alle Menschen haben die Lockdowns als schwierigen Einschnitt in ihr Leben empfunden und auch für die Wirtschaft waren das tiefgreifende Belastungen. Wir müssen alles unternehmen, um im Herbst weitere Lockdowns zu vermeiden und auch den Präsenzunterricht in Schulen und die Betreuung der Kinder in den Kitas im Herbst zu sichern. Auch wenn wir uns wiederholen: Überzeugungsarbeit, auch über die sozialen Medien, ist der einzige und richtige Weg.</w:t>
      </w:r>
    </w:p>
    <w:p w14:paraId="753F5032" w14:textId="77777777" w:rsidR="00C071B5" w:rsidRPr="00C071B5" w:rsidRDefault="00C071B5" w:rsidP="00C071B5">
      <w:pPr>
        <w:ind w:left="1418"/>
        <w:jc w:val="both"/>
        <w:rPr>
          <w:bCs/>
        </w:rPr>
      </w:pPr>
    </w:p>
    <w:p w14:paraId="50D4B690" w14:textId="18F4951D" w:rsidR="00C071B5" w:rsidRDefault="00C071B5" w:rsidP="00C071B5">
      <w:pPr>
        <w:ind w:left="1418"/>
        <w:jc w:val="both"/>
        <w:rPr>
          <w:bCs/>
        </w:rPr>
      </w:pPr>
      <w:r w:rsidRPr="00C071B5">
        <w:rPr>
          <w:bCs/>
        </w:rPr>
        <w:t>Völlig kontraproduktiv wäre ein weiteres Bürokratiemonster durch Verhängung von Bußgeldern, wenn jemand einen Impftermin nicht wahrnimmt. Das wird viele Menschen davon abhalten, die vielleicht verunsichert sind, überhaupt einen Impftermin zu vereinbaren. Hinzu kommt, dass die Erreichbarkeit der Impfzentren nach wie vor teilweise schwierig ist und das Argument, ‚ich habe es telefonisch versucht, bin aber nicht durchgekommen‘, ein Bußgeld ausschließen dürfte. Gerade in der Pandemie haben wir – teilweise durchaus zu Recht – die Menschen mit Ge- und Verboten „geflutet“. Da sollte man nicht noch etwas draufsetzen. Es bindet Verwaltungskraft, die wir sinnvollerweise auf die Organisation von möglichst vielen Impfterminen konzentrieren sollten.</w:t>
      </w:r>
    </w:p>
    <w:p w14:paraId="7A093241" w14:textId="77777777" w:rsidR="00C071B5" w:rsidRPr="00C071B5" w:rsidRDefault="00C071B5" w:rsidP="00C071B5">
      <w:pPr>
        <w:ind w:left="1418"/>
        <w:jc w:val="both"/>
        <w:rPr>
          <w:bCs/>
        </w:rPr>
      </w:pPr>
    </w:p>
    <w:p w14:paraId="0B6C9778" w14:textId="4DD9D4B5" w:rsidR="00C071B5" w:rsidRDefault="00C071B5" w:rsidP="00C071B5">
      <w:pPr>
        <w:ind w:left="1418"/>
        <w:jc w:val="both"/>
        <w:rPr>
          <w:bCs/>
        </w:rPr>
      </w:pPr>
      <w:r w:rsidRPr="00C071B5">
        <w:rPr>
          <w:bCs/>
        </w:rPr>
        <w:t>Gleichzeitig wäre es sinnvoll daran festzuhalten, dass eine vollständige Impfung Vorteile bringt, sei es bei einem Restaurantbesuch im Innenbereich, bei Hotelaufenthalten oder bei der Rückkehr aus dem Auslandsurlaub. Es sollte deshalb nach Möglichkeit vermieden werden, dass auch für vollständig Geimpfte Quarantänepflichten aufrechterhalten bleiben. Die Grundsätze „Abstand und Maskenpflicht“, dort wo viele Menschen eng beieinander sind, müssen bis auf weiteres auch für Geimpfte gelten. Alles andere wäre ohnehin kaum zu kontrollieren.</w:t>
      </w:r>
    </w:p>
    <w:p w14:paraId="38C20F94" w14:textId="06932DF1" w:rsidR="000859F3" w:rsidRDefault="000859F3">
      <w:pPr>
        <w:rPr>
          <w:bCs/>
        </w:rPr>
      </w:pPr>
      <w:r>
        <w:rPr>
          <w:bCs/>
        </w:rPr>
        <w:br w:type="page"/>
      </w:r>
    </w:p>
    <w:p w14:paraId="57561D36" w14:textId="77777777" w:rsidR="00C071B5" w:rsidRPr="00C071B5" w:rsidRDefault="00C071B5" w:rsidP="00C071B5">
      <w:pPr>
        <w:ind w:left="1418"/>
        <w:jc w:val="both"/>
        <w:rPr>
          <w:bCs/>
        </w:rPr>
      </w:pPr>
    </w:p>
    <w:p w14:paraId="5FFB924F" w14:textId="77777777" w:rsidR="00C071B5" w:rsidRPr="00C071B5" w:rsidRDefault="00C071B5" w:rsidP="00C071B5">
      <w:pPr>
        <w:ind w:left="1418"/>
        <w:jc w:val="both"/>
        <w:rPr>
          <w:bCs/>
        </w:rPr>
      </w:pPr>
      <w:r w:rsidRPr="00C071B5">
        <w:rPr>
          <w:bCs/>
        </w:rPr>
        <w:t>Gerade Jugendliche, die ein hohes Interesse haben, an Veranstaltungen teilzunehmen, werden ein Impfangebot schneller annehmen, wenn damit der Zugang zu derartigen Veranstaltungen erleichtert ist.</w:t>
      </w:r>
    </w:p>
    <w:p w14:paraId="2383C4B5" w14:textId="77777777" w:rsidR="00C071B5" w:rsidRPr="00547E93" w:rsidRDefault="00C071B5" w:rsidP="00C071B5">
      <w:pPr>
        <w:ind w:left="1418"/>
      </w:pPr>
    </w:p>
    <w:p w14:paraId="2AA909EF" w14:textId="77777777" w:rsidR="00C071B5" w:rsidRPr="0028439B" w:rsidRDefault="00462B02" w:rsidP="00C071B5">
      <w:pPr>
        <w:jc w:val="right"/>
        <w:rPr>
          <w:b/>
          <w:sz w:val="18"/>
        </w:rPr>
      </w:pPr>
      <w:hyperlink w:anchor="_top" w:history="1">
        <w:r w:rsidR="00C071B5" w:rsidRPr="0028439B">
          <w:rPr>
            <w:rStyle w:val="Hyperlink"/>
            <w:b/>
            <w:color w:val="auto"/>
            <w:sz w:val="18"/>
          </w:rPr>
          <w:t>Inhaltsverzeichnis</w:t>
        </w:r>
      </w:hyperlink>
    </w:p>
    <w:p w14:paraId="30DE4566" w14:textId="7A71507B" w:rsidR="00C071B5" w:rsidRDefault="00C071B5">
      <w:pPr>
        <w:rPr>
          <w:bCs/>
        </w:rPr>
      </w:pPr>
      <w:r>
        <w:rPr>
          <w:bCs/>
        </w:rPr>
        <w:br w:type="page"/>
      </w:r>
    </w:p>
    <w:p w14:paraId="14500FF8" w14:textId="77777777" w:rsidR="00EC0455" w:rsidRPr="00D64B28" w:rsidRDefault="00EC0455" w:rsidP="00EC0455">
      <w:pPr>
        <w:rPr>
          <w:b/>
          <w:sz w:val="40"/>
          <w:highlight w:val="lightGray"/>
        </w:rPr>
      </w:pPr>
      <w:r w:rsidRPr="00D64B28">
        <w:rPr>
          <w:b/>
          <w:sz w:val="40"/>
          <w:highlight w:val="lightGray"/>
        </w:rPr>
        <w:lastRenderedPageBreak/>
        <w:t xml:space="preserve">HAUPTGESCHÄFTSSTELLE </w:t>
      </w:r>
    </w:p>
    <w:p w14:paraId="5E816373" w14:textId="77777777" w:rsidR="00EC0455" w:rsidRPr="00547E93" w:rsidRDefault="00EC0455" w:rsidP="00EC0455">
      <w:pPr>
        <w:tabs>
          <w:tab w:val="left" w:pos="1418"/>
        </w:tabs>
        <w:rPr>
          <w:b/>
          <w:sz w:val="28"/>
          <w:szCs w:val="28"/>
        </w:rPr>
      </w:pPr>
    </w:p>
    <w:p w14:paraId="24D1221F" w14:textId="000F5879" w:rsidR="00D80259" w:rsidRPr="00D80259" w:rsidRDefault="00C67E44" w:rsidP="00D80259">
      <w:pPr>
        <w:pStyle w:val="2"/>
        <w:spacing w:before="0" w:after="0"/>
      </w:pPr>
      <w:bookmarkStart w:id="39" w:name="_Toc76732623"/>
      <w:r>
        <w:t>2721</w:t>
      </w:r>
      <w:r w:rsidR="00EC0455">
        <w:t>-</w:t>
      </w:r>
      <w:r w:rsidR="00AE3FD3">
        <w:t>1</w:t>
      </w:r>
      <w:r w:rsidR="0088289E">
        <w:t>9</w:t>
      </w:r>
      <w:r w:rsidR="00EC0455" w:rsidRPr="00547E93">
        <w:tab/>
      </w:r>
      <w:r w:rsidR="00D80259">
        <w:t>Statement: Kommunaler Finanzbericht unterstreicht Notwendigkeit eines 2. Rettungsschirms</w:t>
      </w:r>
      <w:bookmarkEnd w:id="39"/>
    </w:p>
    <w:p w14:paraId="0616D5F5" w14:textId="77777777" w:rsidR="008E50C8" w:rsidRDefault="008E50C8" w:rsidP="002706B9">
      <w:pPr>
        <w:ind w:left="1418"/>
        <w:jc w:val="both"/>
      </w:pPr>
    </w:p>
    <w:p w14:paraId="351AD18D" w14:textId="0EE8B70F" w:rsidR="00D80259" w:rsidRPr="003F6048" w:rsidRDefault="00D80259" w:rsidP="002706B9">
      <w:pPr>
        <w:ind w:left="1418"/>
        <w:jc w:val="both"/>
        <w:rPr>
          <w:b/>
        </w:rPr>
      </w:pPr>
      <w:r w:rsidRPr="003F6048">
        <w:rPr>
          <w:b/>
        </w:rPr>
        <w:t xml:space="preserve">Statement von DStGB-Hauptgeschäftsführer Dr. Gerd Landsberg vom </w:t>
      </w:r>
      <w:r>
        <w:rPr>
          <w:b/>
        </w:rPr>
        <w:t>06.07.2021</w:t>
      </w:r>
      <w:r w:rsidR="00FA3E70">
        <w:rPr>
          <w:b/>
        </w:rPr>
        <w:t xml:space="preserve"> gegenüber dem Korrespondentenbüro Herholz. </w:t>
      </w:r>
    </w:p>
    <w:p w14:paraId="60E5D4E1" w14:textId="77777777" w:rsidR="00D80259" w:rsidRDefault="00D80259" w:rsidP="002706B9">
      <w:pPr>
        <w:ind w:left="1418"/>
        <w:jc w:val="both"/>
      </w:pPr>
    </w:p>
    <w:p w14:paraId="6C24A097" w14:textId="1906EF88" w:rsidR="008E50C8" w:rsidRPr="00D80259" w:rsidRDefault="00FA3E70" w:rsidP="002706B9">
      <w:pPr>
        <w:ind w:left="1418"/>
        <w:jc w:val="both"/>
        <w:rPr>
          <w:bCs/>
        </w:rPr>
      </w:pPr>
      <w:r>
        <w:rPr>
          <w:bCs/>
        </w:rPr>
        <w:t>„</w:t>
      </w:r>
      <w:r w:rsidR="00D80259" w:rsidRPr="00D80259">
        <w:rPr>
          <w:bCs/>
        </w:rPr>
        <w:t>Der Kommunale Finanz</w:t>
      </w:r>
      <w:r>
        <w:rPr>
          <w:bCs/>
        </w:rPr>
        <w:t>report</w:t>
      </w:r>
      <w:r w:rsidR="00D80259" w:rsidRPr="00D80259">
        <w:rPr>
          <w:bCs/>
        </w:rPr>
        <w:t xml:space="preserve"> 2021 der Bertelsmann Stiftung unterstreicht die Notwendigkeit weiterer Finanzhilfen für die Kommunen. Allein für das laufende sowie das kommende Jahr 2022 wird von den Autoren der Studie ein Minus von jeweils acht Milliarden Euro für die Kommunalfinanzen prognostiziert. Bis zum Jahr 2024 summieren sich die Defizite auf 23 Mrd. Euro.</w:t>
      </w:r>
    </w:p>
    <w:p w14:paraId="5431AD6D" w14:textId="77777777" w:rsidR="00D80259" w:rsidRPr="00D80259" w:rsidRDefault="00D80259" w:rsidP="002706B9">
      <w:pPr>
        <w:ind w:left="1418"/>
        <w:jc w:val="both"/>
        <w:rPr>
          <w:bCs/>
        </w:rPr>
      </w:pPr>
    </w:p>
    <w:p w14:paraId="10D71015" w14:textId="77777777" w:rsidR="00D80259" w:rsidRDefault="00D80259" w:rsidP="002706B9">
      <w:pPr>
        <w:ind w:left="1418"/>
        <w:jc w:val="both"/>
        <w:rPr>
          <w:bCs/>
        </w:rPr>
      </w:pPr>
      <w:r w:rsidRPr="00D80259">
        <w:rPr>
          <w:bCs/>
        </w:rPr>
        <w:t>Wenn Länder und Bund die Finanzen unserer Städte und Gemeinden nicht stabil halten, werden diese den Rotstift ansetzen und ihre Investitionen spürbar zurückfahren müssen. Angesichts eines kommunalen Investitionsstaus von 149 Mrd. Euro sowie massiver zusätzlicher Investitionsbedarfe in den Bereichen Digitalisierung, Klimaschutz oder Mobilität würden wir damit die Zukunftsfähigkeit Deutschlands als Wirtschafts- und Forschungsstandort aufs Spiel setzen.</w:t>
      </w:r>
    </w:p>
    <w:p w14:paraId="2590B52C" w14:textId="77777777" w:rsidR="00D80259" w:rsidRPr="00D80259" w:rsidRDefault="00D80259" w:rsidP="002706B9">
      <w:pPr>
        <w:ind w:left="1418"/>
        <w:jc w:val="both"/>
        <w:rPr>
          <w:bCs/>
        </w:rPr>
      </w:pPr>
    </w:p>
    <w:p w14:paraId="3B830DA9" w14:textId="77777777" w:rsidR="00D80259" w:rsidRDefault="00D80259" w:rsidP="002706B9">
      <w:pPr>
        <w:ind w:left="1418"/>
        <w:jc w:val="both"/>
        <w:rPr>
          <w:bCs/>
        </w:rPr>
      </w:pPr>
      <w:r w:rsidRPr="00D80259">
        <w:rPr>
          <w:bCs/>
        </w:rPr>
        <w:t>Bleibt eine Unterstützung von Bund und Ländern aus, würde sich dies auch auf die angestrebte Gleichwertigkeit der Lebensverhältnisse zusätzlich negativ auswirken. Ohnehin bereits finanzschwache Kommunen wären besonders betroffen. Neben den Investitionen müssten die Kommunen ohne weitere Hilfen von Ländern und Bund auch ihre Angebote in den gesellschaftlich bedeutsamen Bereichen Kultur, Sport und Soziales zurückfahren. Auch damit würde der so wichtige gesellschaftliche Zusammenhalt weiter geschwächt werden.</w:t>
      </w:r>
    </w:p>
    <w:p w14:paraId="2DAFDA79" w14:textId="77777777" w:rsidR="00D80259" w:rsidRPr="00D80259" w:rsidRDefault="00D80259" w:rsidP="00D80259">
      <w:pPr>
        <w:ind w:left="1418"/>
        <w:rPr>
          <w:bCs/>
        </w:rPr>
      </w:pPr>
    </w:p>
    <w:p w14:paraId="4E5D11C6" w14:textId="31DD2265" w:rsidR="00D80259" w:rsidRPr="00D80259" w:rsidRDefault="00D80259" w:rsidP="002706B9">
      <w:pPr>
        <w:ind w:left="1418"/>
        <w:jc w:val="both"/>
        <w:rPr>
          <w:bCs/>
        </w:rPr>
      </w:pPr>
      <w:r w:rsidRPr="00D80259">
        <w:rPr>
          <w:bCs/>
        </w:rPr>
        <w:t>Gerade das abgelaufene Haushaltsjahr 2020 hat gezeigt, wie wichtig die Corona-bedingten Stützungsmaßnahmen für die Kommunen waren. Ohne sie hätten die Kommunen ein Rekorddefizit von mindestens 12 Mrd. Euro eingefahren. Nur durch die Hilfen von Bund und Ländern war es den Städten und Gemeinden möglich, die zusätzlichen Ausgaben zu schultern und an ihren Investitionen festzuhalten. Damit waren die Kommunen mit ihren Investitionen auch ein wichtiger Stabilitätsanker für die Konjunktur. Hieran muss auch in Zukunft festgehalten werden. Es darf nicht gegen die Krise angespart werden. Gerade jetzt müssen die Kommunen leistungsstark sein und investieren können.</w:t>
      </w:r>
      <w:r w:rsidR="00FA3E70">
        <w:rPr>
          <w:bCs/>
        </w:rPr>
        <w:t>“</w:t>
      </w:r>
    </w:p>
    <w:p w14:paraId="637FAD26" w14:textId="77777777" w:rsidR="00D80259" w:rsidRPr="00004857" w:rsidRDefault="00D80259" w:rsidP="008E50C8">
      <w:pPr>
        <w:ind w:left="1418"/>
      </w:pPr>
    </w:p>
    <w:p w14:paraId="34226AF0" w14:textId="77777777" w:rsidR="00EC0455" w:rsidRPr="00547E93" w:rsidRDefault="00EC0455" w:rsidP="00EC0455">
      <w:pPr>
        <w:ind w:left="1418"/>
      </w:pPr>
    </w:p>
    <w:p w14:paraId="276D54C0" w14:textId="77777777" w:rsidR="00EC0455" w:rsidRPr="0028439B" w:rsidRDefault="00462B02" w:rsidP="00EC0455">
      <w:pPr>
        <w:jc w:val="right"/>
        <w:rPr>
          <w:b/>
          <w:sz w:val="18"/>
        </w:rPr>
      </w:pPr>
      <w:hyperlink w:anchor="_top" w:history="1">
        <w:r w:rsidR="00EC0455" w:rsidRPr="0028439B">
          <w:rPr>
            <w:rStyle w:val="Hyperlink"/>
            <w:b/>
            <w:color w:val="auto"/>
            <w:sz w:val="18"/>
          </w:rPr>
          <w:t>Inhaltsverzeichnis</w:t>
        </w:r>
      </w:hyperlink>
    </w:p>
    <w:p w14:paraId="2859223E" w14:textId="77777777" w:rsidR="00EC0455" w:rsidRDefault="00EC0455">
      <w:pPr>
        <w:rPr>
          <w:bCs/>
        </w:rPr>
      </w:pPr>
      <w:r>
        <w:rPr>
          <w:bCs/>
        </w:rPr>
        <w:br w:type="page"/>
      </w:r>
    </w:p>
    <w:p w14:paraId="7E836BDA" w14:textId="77777777" w:rsidR="00EC0455" w:rsidRPr="00D64B28" w:rsidRDefault="00EC0455" w:rsidP="00EC0455">
      <w:pPr>
        <w:rPr>
          <w:b/>
          <w:sz w:val="40"/>
          <w:highlight w:val="lightGray"/>
        </w:rPr>
      </w:pPr>
      <w:r w:rsidRPr="00D64B28">
        <w:rPr>
          <w:b/>
          <w:sz w:val="40"/>
          <w:highlight w:val="lightGray"/>
        </w:rPr>
        <w:lastRenderedPageBreak/>
        <w:t xml:space="preserve">HAUPTGESCHÄFTSSTELLE </w:t>
      </w:r>
    </w:p>
    <w:p w14:paraId="12CD8767" w14:textId="77777777" w:rsidR="00EC0455" w:rsidRPr="00547E93" w:rsidRDefault="00EC0455" w:rsidP="00EC0455">
      <w:pPr>
        <w:tabs>
          <w:tab w:val="left" w:pos="1418"/>
        </w:tabs>
        <w:rPr>
          <w:b/>
          <w:sz w:val="28"/>
          <w:szCs w:val="28"/>
        </w:rPr>
      </w:pPr>
    </w:p>
    <w:p w14:paraId="548B2339" w14:textId="0DF7D9B8" w:rsidR="00FF2EE5" w:rsidRPr="00FF2EE5" w:rsidRDefault="00C67E44" w:rsidP="00FF2EE5">
      <w:pPr>
        <w:pStyle w:val="2"/>
        <w:spacing w:before="0" w:after="0"/>
        <w:rPr>
          <w:iCs/>
        </w:rPr>
      </w:pPr>
      <w:bookmarkStart w:id="40" w:name="_Toc76732624"/>
      <w:r>
        <w:t>2721</w:t>
      </w:r>
      <w:r w:rsidR="00E64DE8" w:rsidRPr="00F96BC8">
        <w:t>-</w:t>
      </w:r>
      <w:r w:rsidR="0088289E">
        <w:t>20</w:t>
      </w:r>
      <w:r w:rsidR="00E64DE8" w:rsidRPr="00F96BC8">
        <w:tab/>
      </w:r>
      <w:r w:rsidR="00E44956">
        <w:t>DStGB-</w:t>
      </w:r>
      <w:r w:rsidR="00FF2EE5" w:rsidRPr="00FC36E2">
        <w:t xml:space="preserve">Veranstaltung: </w:t>
      </w:r>
      <w:r w:rsidR="00E44956">
        <w:t>„</w:t>
      </w:r>
      <w:r w:rsidR="00FF2EE5" w:rsidRPr="00FC36E2">
        <w:t>Kommunen gestalten Ernährung</w:t>
      </w:r>
      <w:r w:rsidR="00E44956">
        <w:t>“ am 22. Juli</w:t>
      </w:r>
      <w:bookmarkEnd w:id="40"/>
      <w:r w:rsidR="00E44956">
        <w:t xml:space="preserve"> </w:t>
      </w:r>
      <w:r w:rsidR="00FF2EE5" w:rsidRPr="00FC36E2">
        <w:t xml:space="preserve"> </w:t>
      </w:r>
    </w:p>
    <w:p w14:paraId="78D32954" w14:textId="77777777" w:rsidR="00FF2EE5" w:rsidRPr="00FF2EE5" w:rsidRDefault="00FF2EE5" w:rsidP="00FF2EE5">
      <w:pPr>
        <w:ind w:left="1418"/>
        <w:rPr>
          <w:b/>
        </w:rPr>
      </w:pPr>
    </w:p>
    <w:p w14:paraId="57E583BC" w14:textId="71F26BC5" w:rsidR="00FF2EE5" w:rsidRPr="00FC36E2" w:rsidRDefault="00FF2EE5" w:rsidP="002706B9">
      <w:pPr>
        <w:ind w:left="1418"/>
        <w:jc w:val="both"/>
        <w:rPr>
          <w:b/>
        </w:rPr>
      </w:pPr>
      <w:r w:rsidRPr="00FC36E2">
        <w:rPr>
          <w:b/>
        </w:rPr>
        <w:t xml:space="preserve">Der Deutsche Städte- und Gemeindebund (DStGB) veranstaltet zusammen mit dem vom BMBF gefördert Verbundforschungsprojekt KERNiG der Universität Freiburg, den Auftakt seiner Veranstaltungsreihe „Kommunen gestalten Ernährung </w:t>
      </w:r>
      <w:r w:rsidR="002706B9">
        <w:rPr>
          <w:b/>
        </w:rPr>
        <w:t>–</w:t>
      </w:r>
      <w:r w:rsidRPr="00FC36E2">
        <w:rPr>
          <w:b/>
        </w:rPr>
        <w:t xml:space="preserve"> Neue Handlungsfelder nachhaltiger Stadtentwicklung“ am 22.</w:t>
      </w:r>
      <w:r w:rsidR="00E44956">
        <w:rPr>
          <w:b/>
        </w:rPr>
        <w:t xml:space="preserve"> Juli in Geestland. Von 16</w:t>
      </w:r>
      <w:r w:rsidRPr="00FC36E2">
        <w:rPr>
          <w:b/>
        </w:rPr>
        <w:t xml:space="preserve"> bis 18:30Uhr diskutieren Kommunalvertreter:innen und Expert:innen aus der Wissenschaft über die Bedeutung von kommunaler Ernährung für eine nachhaltige Stadtentwicklung.</w:t>
      </w:r>
    </w:p>
    <w:p w14:paraId="1AFBA5D5" w14:textId="77777777" w:rsidR="00FF2EE5" w:rsidRDefault="00FF2EE5" w:rsidP="002706B9">
      <w:pPr>
        <w:ind w:left="1418"/>
        <w:jc w:val="both"/>
      </w:pPr>
    </w:p>
    <w:p w14:paraId="43158A63" w14:textId="77777777" w:rsidR="00FF2EE5" w:rsidRDefault="00FF2EE5" w:rsidP="002706B9">
      <w:pPr>
        <w:ind w:left="1418"/>
        <w:jc w:val="both"/>
      </w:pPr>
      <w:r>
        <w:t xml:space="preserve">Für Kommunen spielen die Themen Nachhaltigkeit und Klimaschutz in vielen ihrer Aufgabenbereiche eine bedeutende Rolle. Bisher noch wenig berücksichtigt sind jedoch die Auswirkungen der kommunalen Ernährungssysteme auf die Umwelt. Die nachhaltige Gestaltung von Ernährungsstrukturen in Städten und Gemeinden bietet zahlreiche kommunale Gestaltungsmöglichkeiten. Es ist ein Querschnittsthema, welches eine Vielzahl an kommunalpolitischen Aufgabenbereichen miteinander verknüpfen kann. Kommunen werden in Zukunft neben ihrer Energieversorgung und Mobilität, auch ihre Versorgung mit Nahrungsmitteln neu aufstellen müssen. Nachhaltige und regionale Modelle werden an Attraktivität gewinnen. Ernährung ist schon heute eines der Zukunftsthemen. In den meisten Kommunen finden sich längst nachhaltige Ansätze in Bezug auf die Versorgung mit Lebensmitteln: seien es moderne Urban-Gardening-Projekte, welche Community-Building sowie regionale Ernährung vereinen, oder der klassische Wochenmarkt, der sich vielerorts großer Beliebtheit erfreut. Hier finden sich Ansatzpunkte, welche auch kleine Kommunen gut nutzen können, um die eigene nachhaltigere Versorgung vor Ort auszubauen. </w:t>
      </w:r>
    </w:p>
    <w:p w14:paraId="2C6ABFAC" w14:textId="77777777" w:rsidR="00FF2EE5" w:rsidRDefault="00FF2EE5" w:rsidP="002706B9">
      <w:pPr>
        <w:ind w:left="1418"/>
        <w:jc w:val="both"/>
      </w:pPr>
    </w:p>
    <w:p w14:paraId="1647FCCF" w14:textId="77777777" w:rsidR="00FF2EE5" w:rsidRPr="00FC36E2" w:rsidRDefault="00FF2EE5" w:rsidP="002706B9">
      <w:pPr>
        <w:ind w:left="1418"/>
        <w:jc w:val="both"/>
        <w:rPr>
          <w:b/>
        </w:rPr>
      </w:pPr>
      <w:r w:rsidRPr="00FC36E2">
        <w:rPr>
          <w:b/>
        </w:rPr>
        <w:t>Kommunale Ernährungssysteme</w:t>
      </w:r>
    </w:p>
    <w:p w14:paraId="62BA4413" w14:textId="7C1D5721" w:rsidR="00FF2EE5" w:rsidRDefault="00FF2EE5" w:rsidP="002706B9">
      <w:pPr>
        <w:ind w:left="1418"/>
        <w:jc w:val="both"/>
      </w:pPr>
      <w:r>
        <w:t xml:space="preserve">Das Konzept „Kommunales Ernährungssystem“ meint jedoch mehr, als „was auf den Teller kommt“, nämlich die Vielfalt an direkt und indirekt ernährungsbezogenen Aktivitäten und Beziehungen zwischen allen relevanten Akteursgruppen – von der Stadtverwaltung über Unternehmen und Betriebe, Vereine und Initiativen bis zur Bevölkerung – in allen Bereichen von der Produktion, über die Verarbeitung, Versorgung, Zubereitung bis hin zu Konsum und Entsorgung von Nahrungsmitteln in der Stadt. Die Größe der Kommune oder der Grad ihrer agrarischen Prägung spielen dabei keine Rolle: </w:t>
      </w:r>
      <w:r w:rsidRPr="00E44956">
        <w:rPr>
          <w:b/>
        </w:rPr>
        <w:t>Alle Städte und Gemeinden haben ein kommunales Ernährungssystem.</w:t>
      </w:r>
      <w:r>
        <w:t xml:space="preserve"> Lediglich die Zahl der Marktakteure, ihre mengenmäßige Bedeutung für die Versorgung der Kommune mit Nahrungsmitteln und ihre räumliche Einbettung in die Region können variieren. Ebenso kann es Unterschiede in der Zahl der einschlägig befassten Verwaltungseinheiten geben, der Zahl der aktiven zivilgesellschaftlichen Initiativen, der Verteilung unterschiedlicher sozialer Milieus etc. Projektpartner des vom BMBF geförderten Verbundforschungsprojekt KERNiG </w:t>
      </w:r>
      <w:r>
        <w:lastRenderedPageBreak/>
        <w:t>ist die Stadt Leutkirch im Allgäu. Hier wird bereits erfolgreich gezeigt, wie Ernährung auf kommunaler Ebene nachhaltiger gestaltet werden kann.</w:t>
      </w:r>
    </w:p>
    <w:p w14:paraId="1ED2738E" w14:textId="77777777" w:rsidR="00FF2EE5" w:rsidRDefault="00FF2EE5" w:rsidP="002706B9">
      <w:pPr>
        <w:ind w:left="1418"/>
        <w:jc w:val="both"/>
      </w:pPr>
    </w:p>
    <w:p w14:paraId="0AA7E296" w14:textId="76387377" w:rsidR="00FF2EE5" w:rsidRDefault="00FF2EE5" w:rsidP="002706B9">
      <w:pPr>
        <w:ind w:left="1418"/>
        <w:jc w:val="both"/>
      </w:pPr>
      <w:r>
        <w:t xml:space="preserve">Mit der Veranstaltungsreihe „Kommunen gestalten Ernährung </w:t>
      </w:r>
      <w:r w:rsidR="00E44956">
        <w:t>–</w:t>
      </w:r>
      <w:r>
        <w:t xml:space="preserve"> neue</w:t>
      </w:r>
      <w:r w:rsidR="00E44956">
        <w:t xml:space="preserve"> </w:t>
      </w:r>
      <w:r>
        <w:t>Handlungsfelder nachhaltiger Stadtentwicklung“ wollen der DStGB gemeinsam mit dem vom BMBF geförderten Verbundforschungsprojekts KERNiG der Universität Freiburg mit Hilfe von Praxisbeispielen zeigen, welche Potenziale in der Gestaltung kommunaler Ernährungssysteme verborgen liegen. Kommunen sollen ermutigt werden, selbst diesen Weg einzuschlagen.</w:t>
      </w:r>
    </w:p>
    <w:p w14:paraId="65AC395B" w14:textId="77777777" w:rsidR="00FF2EE5" w:rsidRDefault="00FF2EE5" w:rsidP="00FF2EE5">
      <w:pPr>
        <w:ind w:left="1418"/>
      </w:pPr>
    </w:p>
    <w:p w14:paraId="1B213FFD" w14:textId="77777777" w:rsidR="00FF2EE5" w:rsidRDefault="00FF2EE5" w:rsidP="00FF2EE5">
      <w:pPr>
        <w:ind w:left="1418"/>
      </w:pPr>
      <w:r>
        <w:t>Anmeldung und weitere Informationen unter</w:t>
      </w:r>
    </w:p>
    <w:p w14:paraId="65A07DE9" w14:textId="77777777" w:rsidR="00FF2EE5" w:rsidRDefault="00462B02" w:rsidP="00FF2EE5">
      <w:pPr>
        <w:ind w:left="1418"/>
      </w:pPr>
      <w:hyperlink r:id="rId35" w:history="1">
        <w:r w:rsidR="00FF2EE5" w:rsidRPr="00026281">
          <w:rPr>
            <w:rStyle w:val="Hyperlink"/>
          </w:rPr>
          <w:t>https://www.dstgb.de/aktuelles/2021/kommunen-gestalten-ernaehrung/</w:t>
        </w:r>
      </w:hyperlink>
    </w:p>
    <w:p w14:paraId="590B4BE7" w14:textId="77777777" w:rsidR="00FF2EE5" w:rsidRDefault="00FF2EE5" w:rsidP="00FF2EE5">
      <w:pPr>
        <w:ind w:left="1418"/>
      </w:pPr>
    </w:p>
    <w:p w14:paraId="216BCB37" w14:textId="77777777" w:rsidR="00FF2EE5" w:rsidRPr="00213CB4" w:rsidRDefault="00FF2EE5" w:rsidP="00FF2EE5">
      <w:pPr>
        <w:ind w:left="1418"/>
      </w:pPr>
      <w:r>
        <w:t>(Andrea Schermann, 08.07.2021)</w:t>
      </w:r>
    </w:p>
    <w:p w14:paraId="3F5FBED8" w14:textId="77777777" w:rsidR="00E64DE8" w:rsidRPr="00F96BC8" w:rsidRDefault="00E64DE8" w:rsidP="00E64DE8">
      <w:pPr>
        <w:ind w:left="1418"/>
      </w:pPr>
    </w:p>
    <w:p w14:paraId="57293158" w14:textId="77777777" w:rsidR="00E64DE8" w:rsidRPr="0028439B" w:rsidRDefault="00462B02" w:rsidP="00E64DE8">
      <w:pPr>
        <w:jc w:val="right"/>
        <w:rPr>
          <w:b/>
          <w:sz w:val="18"/>
        </w:rPr>
      </w:pPr>
      <w:hyperlink w:anchor="_top" w:history="1">
        <w:r w:rsidR="00E64DE8" w:rsidRPr="0028439B">
          <w:rPr>
            <w:rStyle w:val="Hyperlink"/>
            <w:b/>
            <w:color w:val="auto"/>
            <w:sz w:val="18"/>
          </w:rPr>
          <w:t>Inhaltsverzeichnis</w:t>
        </w:r>
      </w:hyperlink>
    </w:p>
    <w:p w14:paraId="6256E4BE" w14:textId="77777777" w:rsidR="00FF2EE5" w:rsidRPr="00D64B28" w:rsidRDefault="00E64DE8" w:rsidP="00FF2EE5">
      <w:pPr>
        <w:rPr>
          <w:b/>
          <w:sz w:val="40"/>
          <w:highlight w:val="lightGray"/>
        </w:rPr>
      </w:pPr>
      <w:r>
        <w:rPr>
          <w:bCs/>
        </w:rPr>
        <w:br w:type="page"/>
      </w:r>
      <w:r w:rsidR="00FF2EE5" w:rsidRPr="00D64B28">
        <w:rPr>
          <w:b/>
          <w:sz w:val="40"/>
          <w:highlight w:val="lightGray"/>
        </w:rPr>
        <w:lastRenderedPageBreak/>
        <w:t xml:space="preserve">HAUPTGESCHÄFTSSTELLE </w:t>
      </w:r>
    </w:p>
    <w:p w14:paraId="3A923CD1" w14:textId="77777777" w:rsidR="00FF2EE5" w:rsidRPr="00547E93" w:rsidRDefault="00FF2EE5" w:rsidP="00FF2EE5">
      <w:pPr>
        <w:tabs>
          <w:tab w:val="left" w:pos="1418"/>
        </w:tabs>
        <w:rPr>
          <w:b/>
          <w:sz w:val="28"/>
          <w:szCs w:val="28"/>
        </w:rPr>
      </w:pPr>
    </w:p>
    <w:p w14:paraId="1733F811" w14:textId="2F762E54" w:rsidR="00FF2EE5" w:rsidRPr="00FF2EE5" w:rsidRDefault="00FF2EE5" w:rsidP="00FF2EE5">
      <w:pPr>
        <w:pStyle w:val="2"/>
        <w:spacing w:before="0" w:after="0"/>
        <w:rPr>
          <w:iCs/>
        </w:rPr>
      </w:pPr>
      <w:bookmarkStart w:id="41" w:name="_Toc76732625"/>
      <w:r>
        <w:t>2721</w:t>
      </w:r>
      <w:r w:rsidRPr="00F96BC8">
        <w:t>-</w:t>
      </w:r>
      <w:r w:rsidR="0088289E">
        <w:t>21</w:t>
      </w:r>
      <w:r w:rsidRPr="00F96BC8">
        <w:tab/>
      </w:r>
      <w:r w:rsidR="00E44956">
        <w:t xml:space="preserve">Bericht zur </w:t>
      </w:r>
      <w:r w:rsidRPr="00F87885">
        <w:rPr>
          <w:rFonts w:cs="Arial"/>
        </w:rPr>
        <w:t>IC Lounge</w:t>
      </w:r>
      <w:r w:rsidR="00E44956">
        <w:rPr>
          <w:rFonts w:cs="Arial"/>
        </w:rPr>
        <w:t>:</w:t>
      </w:r>
      <w:r w:rsidRPr="00F87885">
        <w:rPr>
          <w:rFonts w:cs="Arial"/>
        </w:rPr>
        <w:t xml:space="preserve"> „Datenstrategien &amp; Dateninfrastruktur für digitale Kommunen“</w:t>
      </w:r>
      <w:bookmarkEnd w:id="41"/>
    </w:p>
    <w:p w14:paraId="3FC06B5C" w14:textId="77777777" w:rsidR="00FF2EE5" w:rsidRPr="00F87885" w:rsidRDefault="00FF2EE5" w:rsidP="00FF2EE5"/>
    <w:p w14:paraId="53E37154" w14:textId="11496D63" w:rsidR="00FF2EE5" w:rsidRDefault="00FF2EE5" w:rsidP="002706B9">
      <w:pPr>
        <w:ind w:left="1418"/>
        <w:jc w:val="both"/>
        <w:rPr>
          <w:b/>
          <w:bCs/>
        </w:rPr>
      </w:pPr>
      <w:r w:rsidRPr="00F87885">
        <w:rPr>
          <w:b/>
          <w:bCs/>
        </w:rPr>
        <w:t>Wie können Kommunen Daten flächendeckend und effizient nutzen? Die digitale Innovators Club Lounge vom 5. Juli 2021 befasste sich unter anderem mit dieser Frage, denn das Rahmenprogramm gestaltete sich rund um das Thema Datenstrategien und Dateninfrastruktur für digitale Kommunen. Drei Referent:innen von Google Cloud, einem neuen IC-Mitglied, Alanus von Radecki vom Datenkompetenzzentrum für Städte und Regionen sowie Christoph Meineke, Bürgermeister der Gemeinde Wennigsen, diskutierten über innovative Konzepte und Lösungen, mit denen deutsche Städte und Gemeinden ihre digitale Infrastruktur ausbauen und das rasante Datenwachstum effizient, zielgerichtet und einheitlich für kommunale Zwecke nutzen können.</w:t>
      </w:r>
    </w:p>
    <w:p w14:paraId="577F733D" w14:textId="77777777" w:rsidR="00FF2EE5" w:rsidRPr="00F87885" w:rsidRDefault="00FF2EE5" w:rsidP="002706B9">
      <w:pPr>
        <w:ind w:left="1418"/>
        <w:jc w:val="both"/>
        <w:rPr>
          <w:b/>
          <w:bCs/>
        </w:rPr>
      </w:pPr>
    </w:p>
    <w:p w14:paraId="4F74CF30" w14:textId="48F630AD" w:rsidR="00FF2EE5" w:rsidRDefault="00FF2EE5" w:rsidP="002706B9">
      <w:pPr>
        <w:ind w:left="1418"/>
        <w:jc w:val="both"/>
      </w:pPr>
      <w:r w:rsidRPr="00F87885">
        <w:t xml:space="preserve">Zunächst wurde der neue IC Partner Google Cloud vorgestellt, der durch Guido Massfeller vertreten wurde. Google Cloud bietet nicht nur eine digitale Infrastruktur für Daten, sondern vielmehr intelligente Lösungen, die an den Anforderungen der Nutzer:innen orientiert und zudem innovativ sind. Einen ersten Einstieg in innovative Ideen und Lösungen für die kommunale Datenverarbeitung und Datennutzung gab die Referentin </w:t>
      </w:r>
      <w:r w:rsidRPr="00F87885">
        <w:rPr>
          <w:b/>
          <w:bCs/>
        </w:rPr>
        <w:t>Anna Berger</w:t>
      </w:r>
      <w:r w:rsidRPr="00F87885">
        <w:t>, Innovation Lead bei Google Cloud. Innovation ist das Schlagwort und ein zentrales Thema bei Google. Wie können Innovationen jedoch entstehen? In ihrer Präsentation stellte Anna Berger verschiedene Projekte vor, die Google für innovative Zwecke nutzt, darunter Moonshots, 20%-Projekte und Design Sprints. Besonderen Fokus legte sie auf Design Sprints, eine eigene Methode für Innovation. Mithilfe von Design Sprints werden Ideen strukturiert entwickelt und getestet. Dabei liegt der Schwerpunkt auf der Idee, also nicht auf der methodischen Umsetzung, sondern konkret auf einer kreativen Entwicklung und Festsetzung eines Konzeptes. An fünf Tagen sitzen Teams gemeinsam an der Entwicklung und Konkretisierung eines Konzeptes. Dabei beginnt jeder Sprint mit Nutzer:innen Interviews und endet mit Nutzer:innen Tests. In den aufeinanderfolgenden Phasen werden die zunächst weitläufig und groß gedachten Ideen reduziert und konkretisiert sowie schließlich in einen Prototyp umgewandelt, der getestet wird. Als Beispielprojekt wurde „Fabricius“ vorgestellt, eine Plattform, die Hieroglyphen mithilfe von KI entziffern kann. Fabricius verknüpft moderne Technologien mit dem bis dato manuellen und analogen Prozess des Entzifferns von Hieroglyphen. Sowohl von Ägyptolog:innen als auch von interessierte</w:t>
      </w:r>
      <w:r w:rsidR="002706B9">
        <w:t>n</w:t>
      </w:r>
      <w:r w:rsidRPr="00F87885">
        <w:t xml:space="preserve"> Nut</w:t>
      </w:r>
      <w:r>
        <w:t>z</w:t>
      </w:r>
      <w:r w:rsidRPr="00F87885">
        <w:t>er:innen kann die Plattform genutzt werden.</w:t>
      </w:r>
    </w:p>
    <w:p w14:paraId="4F3D5115" w14:textId="77777777" w:rsidR="00FF2EE5" w:rsidRPr="00F87885" w:rsidRDefault="00FF2EE5" w:rsidP="00FF2EE5">
      <w:pPr>
        <w:ind w:left="1418"/>
      </w:pPr>
    </w:p>
    <w:p w14:paraId="7E5C7B00" w14:textId="77777777" w:rsidR="00FF2EE5" w:rsidRDefault="00FF2EE5" w:rsidP="002706B9">
      <w:pPr>
        <w:ind w:left="1418"/>
        <w:jc w:val="both"/>
      </w:pPr>
      <w:r w:rsidRPr="00F87885">
        <w:rPr>
          <w:b/>
          <w:bCs/>
        </w:rPr>
        <w:t>Florian Opitz</w:t>
      </w:r>
      <w:r w:rsidRPr="00F87885">
        <w:t xml:space="preserve">, Customer Engineer bei Google Cloud, stellte ein systematisches Konzept für Datenmanagement in der Cloud vor. Zwei Datentypen werden differenziert: strukturierte und unstrukturierte Daten. Wohingegen strukturierte Daten wie Adresslisten oder Tabellen nur einen Bruchteil der Gesamtdatenmenge einnehmen, besteht der Großteil aus </w:t>
      </w:r>
      <w:r w:rsidRPr="00F87885">
        <w:lastRenderedPageBreak/>
        <w:t>unstrukturierten Daten wie Fotos, Chats oder Videos. Während die Aufgaben einer Cloud oder eines Datenmanagements vielseitig sind, wie das Monitoring oder der Umgang mit rasantem Datenwachstum, liegt die Zielsetzung der Kunden vor allem in der Verwendung der Daten. Das Datenmanagement hat demnach die Aufgabe sich selbstständig, um die restlichen Anteile zu kümmern. Um insbesondere das Durcheinander an unstrukturierten Daten effizient nutzen zu können, sind Künstliche Intelligenz und Maschinelles Lernen die Stichworte für den Umgang mit unstrukturierten Daten. Insgesamt besteht Data Governance neben den beiden offensichtlichen Faktoren Technologie und Prozess auch aus Personen, die die Technologien und Prozesse managen und lenken. Insbesondere kritischen Herausforderungen wie Datenschutz und Datensicherheit können somit begegnet werden.</w:t>
      </w:r>
    </w:p>
    <w:p w14:paraId="3CE7B02D" w14:textId="77777777" w:rsidR="00FF2EE5" w:rsidRPr="00F87885" w:rsidRDefault="00FF2EE5" w:rsidP="002706B9">
      <w:pPr>
        <w:ind w:left="1418"/>
        <w:jc w:val="both"/>
      </w:pPr>
    </w:p>
    <w:p w14:paraId="1F5E8DE2" w14:textId="77777777" w:rsidR="00FF2EE5" w:rsidRDefault="00FF2EE5" w:rsidP="002706B9">
      <w:pPr>
        <w:ind w:left="1418"/>
        <w:jc w:val="both"/>
      </w:pPr>
      <w:r w:rsidRPr="00F87885">
        <w:t xml:space="preserve">Abschließende Referenten waren </w:t>
      </w:r>
      <w:r w:rsidRPr="00F87885">
        <w:rPr>
          <w:b/>
          <w:bCs/>
        </w:rPr>
        <w:t>Alanus von Radecki</w:t>
      </w:r>
      <w:r w:rsidRPr="00F87885">
        <w:t xml:space="preserve"> und </w:t>
      </w:r>
      <w:r w:rsidRPr="00E44956">
        <w:rPr>
          <w:b/>
        </w:rPr>
        <w:t>Christoph Meineke</w:t>
      </w:r>
      <w:r w:rsidRPr="00F87885">
        <w:t>. Alanus von Radecki vom Datenkompetenzzentrum Städte und Regionen stellte vor, wie Cloud Applikationen und Datenstrategien tatsächlich anwendbar und skalierbar gemacht werden können. Einheitliche Standards und Open Source Plattformen sind dabei von besonderer Bedeutung, sowie Community Learning und kommunaler Austausch. Das Aufsetzen einer Dateninfrastruktur mit Städten beinhaltet die Entwicklung vo</w:t>
      </w:r>
      <w:r w:rsidRPr="00E44956">
        <w:t xml:space="preserve">n Use Cases und die darauffolgende praktische Umsetzung. Bürgermeister der Gemeinde Wennigsen, Christoph Meineke, bot ein exemplarisches </w:t>
      </w:r>
      <w:r w:rsidRPr="00F87885">
        <w:t>Beispiel für die Umsetzung digitaler Lösungen in seiner Gemeinde. Die Gemeinde Wennigsen hat in den vergangenen Jahren zahlreiche digitale Projekte durchgeführt und gezeigt, dass nicht nur Großstädte Smart Cities, sondern auch Gemeinden Smart Regions sein können.</w:t>
      </w:r>
    </w:p>
    <w:p w14:paraId="0975E149" w14:textId="77777777" w:rsidR="00FF2EE5" w:rsidRPr="00F87885" w:rsidRDefault="00FF2EE5" w:rsidP="00FF2EE5">
      <w:pPr>
        <w:ind w:left="1418"/>
      </w:pPr>
    </w:p>
    <w:p w14:paraId="0A505A41" w14:textId="77777777" w:rsidR="00FF2EE5" w:rsidRPr="00F87885" w:rsidRDefault="00FF2EE5" w:rsidP="002706B9">
      <w:pPr>
        <w:ind w:left="1418"/>
        <w:jc w:val="both"/>
      </w:pPr>
      <w:r w:rsidRPr="00F87885">
        <w:t>In der abschließenden Diskussionsrunde wurde vor allem deutlich, dass Datenstrategien und Dateninfrastrukturen nicht nach dem Motto „One size fits all“ angewandt werden können und dass die Entwicklung digitaler Städte und Regionen im Zusammenwirken von Kommunen und Expert:innen für Datenmanagement und Dateninfrastruktur wichtig und bereits im vollen Gange ist.</w:t>
      </w:r>
    </w:p>
    <w:p w14:paraId="47A333F3" w14:textId="77777777" w:rsidR="00FF2EE5" w:rsidRDefault="00FF2EE5" w:rsidP="00FF2EE5">
      <w:pPr>
        <w:ind w:left="1418"/>
      </w:pPr>
    </w:p>
    <w:p w14:paraId="5B0CBDED" w14:textId="77777777" w:rsidR="00FF2EE5" w:rsidRPr="00F87885" w:rsidRDefault="00FF2EE5" w:rsidP="00FF2EE5">
      <w:pPr>
        <w:ind w:left="1418"/>
      </w:pPr>
      <w:r>
        <w:t>(Hannah Grimm, 08.07.2021)</w:t>
      </w:r>
    </w:p>
    <w:p w14:paraId="12DF2656" w14:textId="77777777" w:rsidR="00FF2EE5" w:rsidRPr="00FF2EE5" w:rsidRDefault="00FF2EE5" w:rsidP="00FF2EE5">
      <w:pPr>
        <w:ind w:left="1418"/>
        <w:rPr>
          <w:b/>
        </w:rPr>
      </w:pPr>
    </w:p>
    <w:p w14:paraId="15CE60AD" w14:textId="77777777" w:rsidR="00FF2EE5" w:rsidRPr="00F96BC8" w:rsidRDefault="00FF2EE5" w:rsidP="00FF2EE5">
      <w:pPr>
        <w:ind w:left="1418"/>
      </w:pPr>
    </w:p>
    <w:p w14:paraId="295F7F80" w14:textId="77777777" w:rsidR="00FF2EE5" w:rsidRPr="0028439B" w:rsidRDefault="00462B02" w:rsidP="00FF2EE5">
      <w:pPr>
        <w:jc w:val="right"/>
        <w:rPr>
          <w:b/>
          <w:sz w:val="18"/>
        </w:rPr>
      </w:pPr>
      <w:hyperlink w:anchor="_top" w:history="1">
        <w:r w:rsidR="00FF2EE5" w:rsidRPr="0028439B">
          <w:rPr>
            <w:rStyle w:val="Hyperlink"/>
            <w:b/>
            <w:color w:val="auto"/>
            <w:sz w:val="18"/>
          </w:rPr>
          <w:t>Inhaltsverzeichnis</w:t>
        </w:r>
      </w:hyperlink>
    </w:p>
    <w:p w14:paraId="4FAB233F" w14:textId="77777777" w:rsidR="00FF2EE5" w:rsidRDefault="00FF2EE5" w:rsidP="00FF2EE5">
      <w:pPr>
        <w:rPr>
          <w:bCs/>
        </w:rPr>
      </w:pPr>
      <w:r>
        <w:rPr>
          <w:bCs/>
        </w:rPr>
        <w:br w:type="page"/>
      </w:r>
    </w:p>
    <w:p w14:paraId="7374083E" w14:textId="77777777" w:rsidR="00E64DE8" w:rsidRDefault="00E64DE8" w:rsidP="00E64DE8">
      <w:pPr>
        <w:rPr>
          <w:bCs/>
        </w:rPr>
      </w:pPr>
    </w:p>
    <w:p w14:paraId="456D22FE" w14:textId="77777777" w:rsidR="00E64DE8" w:rsidRPr="00D64B28" w:rsidRDefault="00E64DE8" w:rsidP="00E64DE8">
      <w:pPr>
        <w:rPr>
          <w:b/>
          <w:sz w:val="40"/>
          <w:highlight w:val="lightGray"/>
        </w:rPr>
      </w:pPr>
      <w:r w:rsidRPr="00D64B28">
        <w:rPr>
          <w:b/>
          <w:sz w:val="40"/>
          <w:highlight w:val="lightGray"/>
        </w:rPr>
        <w:t xml:space="preserve">HAUPTGESCHÄFTSSTELLE </w:t>
      </w:r>
    </w:p>
    <w:p w14:paraId="06E4367B" w14:textId="77777777" w:rsidR="00E64DE8" w:rsidRPr="00547E93" w:rsidRDefault="00E64DE8" w:rsidP="00E64DE8">
      <w:pPr>
        <w:tabs>
          <w:tab w:val="left" w:pos="1418"/>
        </w:tabs>
        <w:rPr>
          <w:b/>
          <w:sz w:val="28"/>
          <w:szCs w:val="28"/>
        </w:rPr>
      </w:pPr>
    </w:p>
    <w:p w14:paraId="0B205684" w14:textId="25111007" w:rsidR="00AC4C24" w:rsidRPr="00547E93" w:rsidRDefault="00C67E44" w:rsidP="00AC4C24">
      <w:pPr>
        <w:pStyle w:val="2"/>
        <w:spacing w:before="0" w:after="0"/>
      </w:pPr>
      <w:bookmarkStart w:id="42" w:name="_Toc76732626"/>
      <w:r>
        <w:t>2721</w:t>
      </w:r>
      <w:r w:rsidR="006A0E6F" w:rsidRPr="00547E93">
        <w:t>-</w:t>
      </w:r>
      <w:r w:rsidR="0088289E">
        <w:t>22</w:t>
      </w:r>
      <w:r w:rsidR="006A0E6F" w:rsidRPr="00547E93">
        <w:tab/>
      </w:r>
      <w:r w:rsidR="00AC4C24" w:rsidRPr="00547E93">
        <w:t>Zehn-Minuten-Internet-Newsletter</w:t>
      </w:r>
      <w:bookmarkEnd w:id="42"/>
      <w:r w:rsidR="00AC4C24" w:rsidRPr="00547E93">
        <w:t xml:space="preserve"> </w:t>
      </w:r>
    </w:p>
    <w:p w14:paraId="72A3B2FB" w14:textId="77777777" w:rsidR="00AC4C24" w:rsidRPr="00547E93" w:rsidRDefault="00AC4C24" w:rsidP="00AC4C24">
      <w:pPr>
        <w:ind w:left="1418"/>
      </w:pPr>
    </w:p>
    <w:p w14:paraId="0D164DC2" w14:textId="77777777" w:rsidR="0083105D" w:rsidRPr="00F838EC" w:rsidRDefault="00AC4C24" w:rsidP="002706B9">
      <w:pPr>
        <w:ind w:left="1418"/>
        <w:jc w:val="both"/>
        <w:rPr>
          <w:b/>
        </w:rPr>
      </w:pPr>
      <w:r w:rsidRPr="00547E93">
        <w:rPr>
          <w:b/>
        </w:rPr>
        <w:t xml:space="preserve">Aus dem Internet berichtet Franz-Reinhard Habbel jede Woche </w:t>
      </w:r>
      <w:r w:rsidRPr="00F838EC">
        <w:rPr>
          <w:b/>
        </w:rPr>
        <w:t xml:space="preserve">über Ideen, innovative Lösungen und Zukunftsthemen für Kommunen. In der aktuellen Ausgabe geht es unter anderem um: </w:t>
      </w:r>
    </w:p>
    <w:p w14:paraId="2BB1C7A5" w14:textId="77777777" w:rsidR="00754CAA" w:rsidRPr="00F838EC" w:rsidRDefault="00754CAA" w:rsidP="002706B9">
      <w:pPr>
        <w:ind w:left="1418"/>
        <w:jc w:val="both"/>
      </w:pPr>
    </w:p>
    <w:p w14:paraId="11225ABD" w14:textId="77777777" w:rsidR="00E44956" w:rsidRDefault="00F838EC" w:rsidP="00E44956">
      <w:pPr>
        <w:pStyle w:val="StandardWeb"/>
        <w:shd w:val="clear" w:color="auto" w:fill="FFFFFF"/>
        <w:spacing w:before="0" w:beforeAutospacing="0" w:after="0" w:afterAutospacing="0"/>
        <w:ind w:left="1418"/>
        <w:jc w:val="both"/>
        <w:rPr>
          <w:rFonts w:ascii="Arial" w:hAnsi="Arial" w:cs="Arial"/>
        </w:rPr>
      </w:pPr>
      <w:r w:rsidRPr="00E44956">
        <w:rPr>
          <w:rStyle w:val="Fett"/>
          <w:rFonts w:ascii="Arial" w:hAnsi="Arial" w:cs="Arial"/>
        </w:rPr>
        <w:t>EU-Verbot: Wie die Einwegprodukte verschwinden sollen</w:t>
      </w:r>
      <w:r w:rsidRPr="00E44956">
        <w:rPr>
          <w:rFonts w:ascii="Arial" w:hAnsi="Arial" w:cs="Arial"/>
        </w:rPr>
        <w:br/>
        <w:t xml:space="preserve">Plastikteller, Gabeln, Wattestäbchen, Strohhalme: Seit heute dürfen in der </w:t>
      </w:r>
      <w:r w:rsidR="002706B9" w:rsidRPr="00E44956">
        <w:rPr>
          <w:rFonts w:ascii="Arial" w:hAnsi="Arial" w:cs="Arial"/>
        </w:rPr>
        <w:t>EU-Wegwerfprodukte</w:t>
      </w:r>
      <w:r w:rsidRPr="00E44956">
        <w:rPr>
          <w:rFonts w:ascii="Arial" w:hAnsi="Arial" w:cs="Arial"/>
        </w:rPr>
        <w:t xml:space="preserve"> aus Kunststoff nicht mehr verkauft werden. Was ändert sich, was sagt der Handel? </w:t>
      </w:r>
    </w:p>
    <w:p w14:paraId="08057458" w14:textId="77777777" w:rsidR="00E44956" w:rsidRDefault="00E44956" w:rsidP="00E44956">
      <w:pPr>
        <w:pStyle w:val="StandardWeb"/>
        <w:shd w:val="clear" w:color="auto" w:fill="FFFFFF"/>
        <w:spacing w:before="0" w:beforeAutospacing="0" w:after="0" w:afterAutospacing="0"/>
        <w:ind w:left="1418"/>
        <w:jc w:val="both"/>
        <w:rPr>
          <w:rFonts w:ascii="Arial" w:hAnsi="Arial" w:cs="Arial"/>
        </w:rPr>
      </w:pPr>
    </w:p>
    <w:p w14:paraId="3CF1A210" w14:textId="77777777" w:rsidR="00E44956" w:rsidRPr="00E44956" w:rsidRDefault="00E44956" w:rsidP="00E44956">
      <w:pPr>
        <w:pStyle w:val="StandardWeb"/>
        <w:shd w:val="clear" w:color="auto" w:fill="FFFFFF"/>
        <w:spacing w:before="0" w:beforeAutospacing="0" w:after="0" w:afterAutospacing="0"/>
        <w:ind w:left="1418"/>
        <w:jc w:val="both"/>
        <w:rPr>
          <w:rFonts w:ascii="Arial" w:hAnsi="Arial" w:cs="Arial"/>
          <w:b/>
        </w:rPr>
      </w:pPr>
      <w:r w:rsidRPr="00E44956">
        <w:rPr>
          <w:rFonts w:ascii="Arial" w:hAnsi="Arial" w:cs="Arial"/>
          <w:b/>
        </w:rPr>
        <w:t>Digitale Dörfer Niedersachsen</w:t>
      </w:r>
    </w:p>
    <w:p w14:paraId="5E44D94F" w14:textId="1CE30DAA" w:rsidR="00F838EC" w:rsidRPr="00E44956" w:rsidRDefault="00E44956" w:rsidP="000859F3">
      <w:pPr>
        <w:pStyle w:val="StandardWeb"/>
        <w:shd w:val="clear" w:color="auto" w:fill="FFFFFF"/>
        <w:spacing w:before="0" w:beforeAutospacing="0" w:after="0" w:afterAutospacing="0"/>
        <w:ind w:left="1418"/>
        <w:jc w:val="both"/>
        <w:rPr>
          <w:rFonts w:ascii="Arial" w:hAnsi="Arial" w:cs="Arial"/>
        </w:rPr>
      </w:pPr>
      <w:r w:rsidRPr="00E44956">
        <w:rPr>
          <w:rFonts w:ascii="Arial" w:hAnsi="Arial" w:cs="Arial"/>
        </w:rPr>
        <w:t xml:space="preserve">Das Projekt Digitale Dörfer Niedersachen wird als Kooperationsprojekt der Stiftung Digitale Chancen mit dem Fraunhofer-Institut für Experimentelles Software Engineering durchgeführt. In dem in Göttingen angesiedelten Reallabor Südniedersachsen werden gemeinsam mit Kommunen in Südniedersachsen die Bedarfe der Bevölkerung im ländlichen Raum für mehr digitale Teilhabe ermittelt. An der Schnittstelle von Bürger*innen und Verwaltung wird erprobt, wie die Angebote der Digitale-Dörfer-Plattform genutzt und weiterentwickelt werden können, </w:t>
      </w:r>
      <w:proofErr w:type="spellStart"/>
      <w:r w:rsidRPr="00E44956">
        <w:rPr>
          <w:rFonts w:ascii="Arial" w:hAnsi="Arial" w:cs="Arial"/>
        </w:rPr>
        <w:t>um so</w:t>
      </w:r>
      <w:proofErr w:type="spellEnd"/>
      <w:r w:rsidRPr="00E44956">
        <w:rPr>
          <w:rFonts w:ascii="Arial" w:hAnsi="Arial" w:cs="Arial"/>
        </w:rPr>
        <w:t xml:space="preserve"> mehr Lebensqualität im dörflichen Zusammenleben zu ermöglichen. Dabei stehen das regionale Engagement der Akteur*innen vor Ort und die Anbindung an kommunale (Verwaltungs-) Strukturen im Mittelpunkt.</w:t>
      </w:r>
      <w:r w:rsidR="003E4663" w:rsidRPr="00E44956">
        <w:rPr>
          <w:rFonts w:ascii="Arial" w:hAnsi="Arial" w:cs="Arial"/>
        </w:rPr>
        <w:t xml:space="preserve"> </w:t>
      </w:r>
    </w:p>
    <w:p w14:paraId="342FE3EF" w14:textId="77777777" w:rsidR="00432100" w:rsidRPr="00E44956" w:rsidRDefault="00432100" w:rsidP="000859F3">
      <w:pPr>
        <w:ind w:left="1418"/>
        <w:jc w:val="both"/>
        <w:rPr>
          <w:rStyle w:val="Fett"/>
          <w:shd w:val="clear" w:color="auto" w:fill="FFFFFF"/>
        </w:rPr>
      </w:pPr>
    </w:p>
    <w:p w14:paraId="5F84EDE3" w14:textId="222D0545" w:rsidR="00AC4C24" w:rsidRPr="00E44956" w:rsidRDefault="00F838EC" w:rsidP="000859F3">
      <w:pPr>
        <w:ind w:left="1418"/>
        <w:jc w:val="both"/>
      </w:pPr>
      <w:r w:rsidRPr="00E44956">
        <w:rPr>
          <w:rStyle w:val="Fett"/>
          <w:shd w:val="clear" w:color="auto" w:fill="FFFFFF"/>
        </w:rPr>
        <w:t>Schule nach der Pandemie: Digitalisierung nutzen, um Schüler zu motivieren</w:t>
      </w:r>
      <w:r w:rsidRPr="00E44956">
        <w:br/>
      </w:r>
      <w:r w:rsidRPr="00E44956">
        <w:rPr>
          <w:shd w:val="clear" w:color="auto" w:fill="FFFFFF"/>
        </w:rPr>
        <w:t xml:space="preserve">Die Pandemie hat Lehrkräfte dazu gezwungen, digitale Tools mehr als je zuvor in den Alltag ihrer Schüler zu integrieren. Mit der Rückkehr des Präsenzunterrichts haben Lehrer die </w:t>
      </w:r>
      <w:hyperlink r:id="rId36" w:history="1">
        <w:r w:rsidRPr="00E44956">
          <w:t>einmalige Chance</w:t>
        </w:r>
      </w:hyperlink>
      <w:r w:rsidRPr="00E44956">
        <w:rPr>
          <w:shd w:val="clear" w:color="auto" w:fill="FFFFFF"/>
        </w:rPr>
        <w:t>, die Schulen weiter zu verändern, um digitale Technologien optimal zu nutzen und negative Nebeneffekte der Digitalisierung zu minimieren.</w:t>
      </w:r>
    </w:p>
    <w:p w14:paraId="457FFFFE" w14:textId="77777777" w:rsidR="00AC4C24" w:rsidRPr="00E44956" w:rsidRDefault="00AC4C24" w:rsidP="000859F3">
      <w:pPr>
        <w:ind w:left="1418"/>
        <w:jc w:val="both"/>
      </w:pPr>
    </w:p>
    <w:p w14:paraId="5F8EB144" w14:textId="77777777" w:rsidR="00432100" w:rsidRPr="00E44956" w:rsidRDefault="00F838EC" w:rsidP="000859F3">
      <w:pPr>
        <w:ind w:left="1418"/>
        <w:jc w:val="both"/>
      </w:pPr>
      <w:r w:rsidRPr="00E44956">
        <w:rPr>
          <w:rStyle w:val="Fett"/>
          <w:sz w:val="21"/>
          <w:szCs w:val="21"/>
          <w:shd w:val="clear" w:color="auto" w:fill="FFFFFF"/>
        </w:rPr>
        <w:t>„</w:t>
      </w:r>
      <w:r w:rsidRPr="00E44956">
        <w:rPr>
          <w:rStyle w:val="Fett"/>
          <w:shd w:val="clear" w:color="auto" w:fill="FFFFFF"/>
        </w:rPr>
        <w:t>Deutschland ist, denkt und handelt zu kompliziert“</w:t>
      </w:r>
    </w:p>
    <w:p w14:paraId="5A8C7E80" w14:textId="1CA0CABF" w:rsidR="00F838EC" w:rsidRPr="00E44956" w:rsidRDefault="00F838EC" w:rsidP="000859F3">
      <w:pPr>
        <w:ind w:left="1418"/>
        <w:jc w:val="both"/>
      </w:pPr>
      <w:r w:rsidRPr="00E44956">
        <w:rPr>
          <w:shd w:val="clear" w:color="auto" w:fill="FFFFFF"/>
        </w:rPr>
        <w:t>Die Pandemie hat gezeigt: In Deutschlands Verwaltung funktioniert vieles nicht, es quietscht gewaltig. Der </w:t>
      </w:r>
      <w:hyperlink r:id="rId37" w:history="1">
        <w:r w:rsidRPr="00E44956">
          <w:t>Normenkontrollrat </w:t>
        </w:r>
      </w:hyperlink>
      <w:r w:rsidRPr="00E44956">
        <w:rPr>
          <w:shd w:val="clear" w:color="auto" w:fill="FFFFFF"/>
        </w:rPr>
        <w:t>macht nun konkrete Vorschläge.</w:t>
      </w:r>
    </w:p>
    <w:p w14:paraId="5ADDDC6D" w14:textId="77777777" w:rsidR="00AC4C24" w:rsidRDefault="00AC4C24" w:rsidP="00432100">
      <w:pPr>
        <w:ind w:left="1418"/>
        <w:jc w:val="both"/>
      </w:pPr>
    </w:p>
    <w:p w14:paraId="4C5E5A87" w14:textId="77777777" w:rsidR="00E44956" w:rsidRPr="00E44956" w:rsidRDefault="00E44956" w:rsidP="00432100">
      <w:pPr>
        <w:ind w:left="1418"/>
        <w:jc w:val="both"/>
      </w:pPr>
    </w:p>
    <w:p w14:paraId="0C5E18F8" w14:textId="698EB57E" w:rsidR="0008799B" w:rsidRDefault="0008799B" w:rsidP="00432100">
      <w:pPr>
        <w:ind w:left="1418"/>
        <w:jc w:val="both"/>
      </w:pPr>
      <w:r w:rsidRPr="00E44956">
        <w:t xml:space="preserve">Der vollständige aktuelle Newsletter und Anmeldemöglichkeit unter </w:t>
      </w:r>
      <w:hyperlink r:id="rId38" w:history="1">
        <w:r w:rsidRPr="00E44956">
          <w:rPr>
            <w:rStyle w:val="Hyperlink"/>
            <w:color w:val="auto"/>
          </w:rPr>
          <w:t>www.habbel.de</w:t>
        </w:r>
      </w:hyperlink>
      <w:r w:rsidRPr="00E44956">
        <w:t xml:space="preserve">. </w:t>
      </w:r>
    </w:p>
    <w:p w14:paraId="35710876" w14:textId="77777777" w:rsidR="00E44956" w:rsidRPr="00E44956" w:rsidRDefault="00E44956" w:rsidP="00432100">
      <w:pPr>
        <w:ind w:left="1418"/>
        <w:jc w:val="both"/>
      </w:pPr>
    </w:p>
    <w:p w14:paraId="22D58229" w14:textId="73EF1B22" w:rsidR="003E4663" w:rsidRDefault="003E4663" w:rsidP="00432100">
      <w:pPr>
        <w:ind w:left="1418"/>
        <w:jc w:val="both"/>
      </w:pPr>
    </w:p>
    <w:p w14:paraId="7A63570C" w14:textId="77777777" w:rsidR="003E4663" w:rsidRPr="0028439B" w:rsidRDefault="00462B02" w:rsidP="003E4663">
      <w:pPr>
        <w:jc w:val="right"/>
        <w:rPr>
          <w:b/>
          <w:sz w:val="18"/>
        </w:rPr>
      </w:pPr>
      <w:hyperlink w:anchor="_top" w:history="1">
        <w:r w:rsidR="003E4663" w:rsidRPr="0028439B">
          <w:rPr>
            <w:rStyle w:val="Hyperlink"/>
            <w:b/>
            <w:color w:val="auto"/>
            <w:sz w:val="18"/>
          </w:rPr>
          <w:t>Inhaltsverzeichnis</w:t>
        </w:r>
      </w:hyperlink>
    </w:p>
    <w:p w14:paraId="10F08DA1" w14:textId="77777777" w:rsidR="009815D8" w:rsidRDefault="009815D8">
      <w:r>
        <w:br w:type="page"/>
      </w:r>
    </w:p>
    <w:p w14:paraId="61770208" w14:textId="77777777" w:rsidR="00E02C5F" w:rsidRPr="00547E93" w:rsidRDefault="00E02C5F" w:rsidP="008E0157">
      <w:pPr>
        <w:pStyle w:val="berschrift1"/>
        <w:rPr>
          <w:b/>
        </w:rPr>
      </w:pPr>
      <w:bookmarkStart w:id="43" w:name="_Toc502842273"/>
      <w:bookmarkStart w:id="44" w:name="_Toc76732627"/>
      <w:r w:rsidRPr="00547E93">
        <w:rPr>
          <w:b/>
        </w:rPr>
        <w:lastRenderedPageBreak/>
        <w:t>TERMINANKÜNDIGUNGEN</w:t>
      </w:r>
      <w:bookmarkEnd w:id="35"/>
      <w:bookmarkEnd w:id="36"/>
      <w:bookmarkEnd w:id="43"/>
      <w:bookmarkEnd w:id="44"/>
    </w:p>
    <w:p w14:paraId="2D95DBA7" w14:textId="77777777" w:rsidR="00E02C5F" w:rsidRPr="00547E93" w:rsidRDefault="00E02C5F" w:rsidP="00630EEA">
      <w:pPr>
        <w:tabs>
          <w:tab w:val="left" w:pos="1418"/>
        </w:tabs>
        <w:rPr>
          <w:b/>
          <w:sz w:val="28"/>
          <w:szCs w:val="28"/>
        </w:rPr>
      </w:pPr>
    </w:p>
    <w:p w14:paraId="69185AF9" w14:textId="00030E47" w:rsidR="007C7830" w:rsidRPr="00547E93" w:rsidRDefault="00C67E44" w:rsidP="00CD4453">
      <w:pPr>
        <w:pStyle w:val="2"/>
        <w:spacing w:before="0" w:after="0"/>
      </w:pPr>
      <w:bookmarkStart w:id="45" w:name="_Toc76732628"/>
      <w:r>
        <w:t>2721</w:t>
      </w:r>
      <w:r w:rsidR="00CD0D96" w:rsidRPr="00547E93">
        <w:t>-</w:t>
      </w:r>
      <w:r w:rsidR="0088289E">
        <w:t>23</w:t>
      </w:r>
      <w:r w:rsidR="007C7830" w:rsidRPr="00547E93">
        <w:tab/>
        <w:t>TERMINVORSCHAU 20</w:t>
      </w:r>
      <w:r w:rsidR="00C12D91">
        <w:t>21</w:t>
      </w:r>
      <w:bookmarkEnd w:id="45"/>
    </w:p>
    <w:p w14:paraId="66670355" w14:textId="77777777" w:rsidR="007C7830" w:rsidRPr="00547E93" w:rsidRDefault="007C7830" w:rsidP="00630EEA">
      <w:pPr>
        <w:rPr>
          <w:sz w:val="22"/>
          <w:szCs w:val="22"/>
        </w:rPr>
      </w:pPr>
    </w:p>
    <w:tbl>
      <w:tblPr>
        <w:tblW w:w="9072" w:type="dxa"/>
        <w:tblCellMar>
          <w:left w:w="70" w:type="dxa"/>
          <w:right w:w="70" w:type="dxa"/>
        </w:tblCellMar>
        <w:tblLook w:val="04A0" w:firstRow="1" w:lastRow="0" w:firstColumn="1" w:lastColumn="0" w:noHBand="0" w:noVBand="1"/>
      </w:tblPr>
      <w:tblGrid>
        <w:gridCol w:w="1960"/>
        <w:gridCol w:w="7112"/>
      </w:tblGrid>
      <w:tr w:rsidR="00C67E44" w:rsidRPr="00F5285D" w14:paraId="0B3E22BB" w14:textId="77777777" w:rsidTr="004725CE">
        <w:trPr>
          <w:trHeight w:val="360"/>
        </w:trPr>
        <w:tc>
          <w:tcPr>
            <w:tcW w:w="1960" w:type="dxa"/>
            <w:tcBorders>
              <w:top w:val="nil"/>
              <w:left w:val="nil"/>
              <w:bottom w:val="nil"/>
              <w:right w:val="nil"/>
            </w:tcBorders>
            <w:shd w:val="clear" w:color="auto" w:fill="auto"/>
            <w:vAlign w:val="center"/>
            <w:hideMark/>
          </w:tcPr>
          <w:p w14:paraId="18F7BDE8" w14:textId="77777777" w:rsidR="00C67E44" w:rsidRPr="00F5285D" w:rsidRDefault="00C67E44" w:rsidP="004725CE">
            <w:pPr>
              <w:rPr>
                <w:b/>
                <w:bCs/>
                <w:sz w:val="28"/>
                <w:szCs w:val="28"/>
              </w:rPr>
            </w:pPr>
            <w:r w:rsidRPr="00F5285D">
              <w:rPr>
                <w:b/>
                <w:bCs/>
                <w:sz w:val="28"/>
                <w:szCs w:val="28"/>
              </w:rPr>
              <w:t>Juli</w:t>
            </w:r>
          </w:p>
        </w:tc>
        <w:tc>
          <w:tcPr>
            <w:tcW w:w="7112" w:type="dxa"/>
            <w:tcBorders>
              <w:top w:val="nil"/>
              <w:left w:val="nil"/>
              <w:bottom w:val="nil"/>
              <w:right w:val="nil"/>
            </w:tcBorders>
            <w:shd w:val="clear" w:color="auto" w:fill="auto"/>
            <w:noWrap/>
            <w:vAlign w:val="center"/>
            <w:hideMark/>
          </w:tcPr>
          <w:p w14:paraId="733D2194" w14:textId="77777777" w:rsidR="00C67E44" w:rsidRPr="00F5285D" w:rsidRDefault="00C67E44" w:rsidP="004725CE">
            <w:pPr>
              <w:rPr>
                <w:b/>
                <w:bCs/>
                <w:sz w:val="28"/>
                <w:szCs w:val="28"/>
              </w:rPr>
            </w:pPr>
          </w:p>
        </w:tc>
      </w:tr>
      <w:tr w:rsidR="00C67E44" w:rsidRPr="00F5285D" w14:paraId="2DD9C608" w14:textId="77777777" w:rsidTr="004725CE">
        <w:trPr>
          <w:trHeight w:val="300"/>
        </w:trPr>
        <w:tc>
          <w:tcPr>
            <w:tcW w:w="1960" w:type="dxa"/>
            <w:tcBorders>
              <w:top w:val="nil"/>
              <w:left w:val="nil"/>
              <w:bottom w:val="nil"/>
              <w:right w:val="nil"/>
            </w:tcBorders>
            <w:shd w:val="clear" w:color="auto" w:fill="auto"/>
            <w:vAlign w:val="center"/>
            <w:hideMark/>
          </w:tcPr>
          <w:p w14:paraId="69C70C10" w14:textId="77777777" w:rsidR="00C67E44" w:rsidRPr="00F5285D" w:rsidRDefault="00C67E44" w:rsidP="004725CE">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1426C17E" w14:textId="77777777" w:rsidR="00C67E44" w:rsidRPr="00F5285D" w:rsidRDefault="00C67E44" w:rsidP="004725CE">
            <w:pPr>
              <w:rPr>
                <w:rFonts w:ascii="Times New Roman" w:hAnsi="Times New Roman" w:cs="Times New Roman"/>
                <w:sz w:val="20"/>
                <w:szCs w:val="20"/>
              </w:rPr>
            </w:pPr>
          </w:p>
        </w:tc>
      </w:tr>
      <w:tr w:rsidR="00C67E44" w:rsidRPr="00F5285D" w14:paraId="20226C62" w14:textId="77777777" w:rsidTr="004725CE">
        <w:trPr>
          <w:trHeight w:val="300"/>
        </w:trPr>
        <w:tc>
          <w:tcPr>
            <w:tcW w:w="1960" w:type="dxa"/>
            <w:tcBorders>
              <w:top w:val="nil"/>
              <w:left w:val="nil"/>
              <w:bottom w:val="nil"/>
              <w:right w:val="nil"/>
            </w:tcBorders>
            <w:shd w:val="clear" w:color="auto" w:fill="auto"/>
            <w:vAlign w:val="center"/>
            <w:hideMark/>
          </w:tcPr>
          <w:p w14:paraId="168EF0C8" w14:textId="77777777" w:rsidR="00C67E44" w:rsidRPr="00F5285D" w:rsidRDefault="00C67E44" w:rsidP="004725CE">
            <w:pPr>
              <w:rPr>
                <w:sz w:val="22"/>
                <w:szCs w:val="22"/>
              </w:rPr>
            </w:pPr>
            <w:r w:rsidRPr="00F5285D">
              <w:rPr>
                <w:sz w:val="22"/>
                <w:szCs w:val="22"/>
              </w:rPr>
              <w:t>15.07.</w:t>
            </w:r>
          </w:p>
        </w:tc>
        <w:tc>
          <w:tcPr>
            <w:tcW w:w="7112" w:type="dxa"/>
            <w:tcBorders>
              <w:top w:val="nil"/>
              <w:left w:val="nil"/>
              <w:bottom w:val="nil"/>
              <w:right w:val="nil"/>
            </w:tcBorders>
            <w:shd w:val="clear" w:color="auto" w:fill="auto"/>
            <w:vAlign w:val="center"/>
            <w:hideMark/>
          </w:tcPr>
          <w:p w14:paraId="04B7F443" w14:textId="77777777" w:rsidR="00C67E44" w:rsidRPr="00F5285D" w:rsidRDefault="00C67E44" w:rsidP="004725CE">
            <w:pPr>
              <w:rPr>
                <w:sz w:val="22"/>
                <w:szCs w:val="22"/>
              </w:rPr>
            </w:pPr>
            <w:r w:rsidRPr="00F5285D">
              <w:rPr>
                <w:sz w:val="22"/>
                <w:szCs w:val="22"/>
              </w:rPr>
              <w:t>Präsidiumssitzung des Hessischen Städte- und Gemeindebundes, Fernwald</w:t>
            </w:r>
          </w:p>
        </w:tc>
      </w:tr>
      <w:tr w:rsidR="00C67E44" w:rsidRPr="00F5285D" w14:paraId="0F8F9947" w14:textId="77777777" w:rsidTr="004725CE">
        <w:trPr>
          <w:trHeight w:val="300"/>
        </w:trPr>
        <w:tc>
          <w:tcPr>
            <w:tcW w:w="1960" w:type="dxa"/>
            <w:tcBorders>
              <w:top w:val="nil"/>
              <w:left w:val="nil"/>
              <w:bottom w:val="nil"/>
              <w:right w:val="nil"/>
            </w:tcBorders>
            <w:shd w:val="clear" w:color="auto" w:fill="auto"/>
            <w:noWrap/>
            <w:vAlign w:val="center"/>
            <w:hideMark/>
          </w:tcPr>
          <w:p w14:paraId="63A4AE5C" w14:textId="77777777" w:rsidR="00C67E44" w:rsidRPr="00F5285D" w:rsidRDefault="00C67E44" w:rsidP="004725CE">
            <w:pPr>
              <w:rPr>
                <w:sz w:val="22"/>
                <w:szCs w:val="22"/>
              </w:rPr>
            </w:pPr>
          </w:p>
        </w:tc>
        <w:tc>
          <w:tcPr>
            <w:tcW w:w="7112" w:type="dxa"/>
            <w:tcBorders>
              <w:top w:val="nil"/>
              <w:left w:val="nil"/>
              <w:bottom w:val="nil"/>
              <w:right w:val="nil"/>
            </w:tcBorders>
            <w:shd w:val="clear" w:color="auto" w:fill="auto"/>
            <w:noWrap/>
            <w:vAlign w:val="center"/>
            <w:hideMark/>
          </w:tcPr>
          <w:p w14:paraId="3FC1F98E" w14:textId="77777777" w:rsidR="00C67E44" w:rsidRPr="00F5285D" w:rsidRDefault="00C67E44" w:rsidP="004725CE">
            <w:pPr>
              <w:rPr>
                <w:rFonts w:ascii="Times New Roman" w:hAnsi="Times New Roman" w:cs="Times New Roman"/>
                <w:sz w:val="20"/>
                <w:szCs w:val="20"/>
              </w:rPr>
            </w:pPr>
          </w:p>
        </w:tc>
      </w:tr>
      <w:tr w:rsidR="00C67E44" w:rsidRPr="00F5285D" w14:paraId="66AB3B6F" w14:textId="77777777" w:rsidTr="004725CE">
        <w:trPr>
          <w:trHeight w:val="300"/>
        </w:trPr>
        <w:tc>
          <w:tcPr>
            <w:tcW w:w="1960" w:type="dxa"/>
            <w:tcBorders>
              <w:top w:val="nil"/>
              <w:left w:val="nil"/>
              <w:bottom w:val="nil"/>
              <w:right w:val="nil"/>
            </w:tcBorders>
            <w:shd w:val="clear" w:color="auto" w:fill="auto"/>
            <w:vAlign w:val="center"/>
            <w:hideMark/>
          </w:tcPr>
          <w:p w14:paraId="12F7E05C" w14:textId="77777777" w:rsidR="00C67E44" w:rsidRPr="00F5285D" w:rsidRDefault="00C67E44" w:rsidP="004725CE">
            <w:pPr>
              <w:rPr>
                <w:sz w:val="22"/>
                <w:szCs w:val="22"/>
              </w:rPr>
            </w:pPr>
            <w:r w:rsidRPr="00F5285D">
              <w:rPr>
                <w:sz w:val="22"/>
                <w:szCs w:val="22"/>
              </w:rPr>
              <w:t>19.07.</w:t>
            </w:r>
          </w:p>
        </w:tc>
        <w:tc>
          <w:tcPr>
            <w:tcW w:w="7112" w:type="dxa"/>
            <w:tcBorders>
              <w:top w:val="nil"/>
              <w:left w:val="nil"/>
              <w:bottom w:val="nil"/>
              <w:right w:val="nil"/>
            </w:tcBorders>
            <w:shd w:val="clear" w:color="auto" w:fill="auto"/>
            <w:vAlign w:val="center"/>
            <w:hideMark/>
          </w:tcPr>
          <w:p w14:paraId="4A66D94D" w14:textId="77777777" w:rsidR="00C67E44" w:rsidRPr="00F5285D" w:rsidRDefault="00C67E44" w:rsidP="004725CE">
            <w:pPr>
              <w:rPr>
                <w:sz w:val="22"/>
                <w:szCs w:val="22"/>
              </w:rPr>
            </w:pPr>
            <w:r w:rsidRPr="00F5285D">
              <w:rPr>
                <w:sz w:val="22"/>
                <w:szCs w:val="22"/>
              </w:rPr>
              <w:t>195. Präsidiumssitzung des Städte- und Gemeindebundes Sachsen-Anhalt</w:t>
            </w:r>
          </w:p>
        </w:tc>
      </w:tr>
      <w:tr w:rsidR="00C67E44" w:rsidRPr="00F5285D" w14:paraId="22C6CEC3" w14:textId="77777777" w:rsidTr="004725CE">
        <w:trPr>
          <w:trHeight w:val="300"/>
        </w:trPr>
        <w:tc>
          <w:tcPr>
            <w:tcW w:w="1960" w:type="dxa"/>
            <w:tcBorders>
              <w:top w:val="nil"/>
              <w:left w:val="nil"/>
              <w:bottom w:val="nil"/>
              <w:right w:val="nil"/>
            </w:tcBorders>
            <w:shd w:val="clear" w:color="auto" w:fill="auto"/>
            <w:noWrap/>
            <w:vAlign w:val="center"/>
            <w:hideMark/>
          </w:tcPr>
          <w:p w14:paraId="5213F0B5" w14:textId="77777777" w:rsidR="00C67E44" w:rsidRPr="00F5285D" w:rsidRDefault="00C67E44" w:rsidP="004725CE">
            <w:pPr>
              <w:rPr>
                <w:sz w:val="22"/>
                <w:szCs w:val="22"/>
              </w:rPr>
            </w:pPr>
          </w:p>
        </w:tc>
        <w:tc>
          <w:tcPr>
            <w:tcW w:w="7112" w:type="dxa"/>
            <w:tcBorders>
              <w:top w:val="nil"/>
              <w:left w:val="nil"/>
              <w:bottom w:val="nil"/>
              <w:right w:val="nil"/>
            </w:tcBorders>
            <w:shd w:val="clear" w:color="auto" w:fill="auto"/>
            <w:noWrap/>
            <w:vAlign w:val="center"/>
            <w:hideMark/>
          </w:tcPr>
          <w:p w14:paraId="6206325C" w14:textId="77777777" w:rsidR="00C67E44" w:rsidRPr="00F5285D" w:rsidRDefault="00C67E44" w:rsidP="004725CE">
            <w:pPr>
              <w:rPr>
                <w:rFonts w:ascii="Times New Roman" w:hAnsi="Times New Roman" w:cs="Times New Roman"/>
                <w:sz w:val="20"/>
                <w:szCs w:val="20"/>
              </w:rPr>
            </w:pPr>
          </w:p>
        </w:tc>
      </w:tr>
      <w:tr w:rsidR="00C67E44" w:rsidRPr="00F5285D" w14:paraId="689AD9F6" w14:textId="77777777" w:rsidTr="004725CE">
        <w:trPr>
          <w:trHeight w:val="300"/>
        </w:trPr>
        <w:tc>
          <w:tcPr>
            <w:tcW w:w="1960" w:type="dxa"/>
            <w:tcBorders>
              <w:top w:val="nil"/>
              <w:left w:val="nil"/>
              <w:bottom w:val="nil"/>
              <w:right w:val="nil"/>
            </w:tcBorders>
            <w:shd w:val="clear" w:color="auto" w:fill="auto"/>
            <w:vAlign w:val="center"/>
            <w:hideMark/>
          </w:tcPr>
          <w:p w14:paraId="3FF6D26D" w14:textId="77777777" w:rsidR="00C67E44" w:rsidRPr="00F5285D" w:rsidRDefault="00C67E44" w:rsidP="004725CE">
            <w:pPr>
              <w:rPr>
                <w:b/>
                <w:bCs/>
                <w:sz w:val="22"/>
                <w:szCs w:val="22"/>
              </w:rPr>
            </w:pPr>
            <w:r w:rsidRPr="00F5285D">
              <w:rPr>
                <w:b/>
                <w:bCs/>
                <w:sz w:val="22"/>
                <w:szCs w:val="22"/>
              </w:rPr>
              <w:t>21.07.</w:t>
            </w:r>
          </w:p>
        </w:tc>
        <w:tc>
          <w:tcPr>
            <w:tcW w:w="7112" w:type="dxa"/>
            <w:tcBorders>
              <w:top w:val="nil"/>
              <w:left w:val="nil"/>
              <w:bottom w:val="nil"/>
              <w:right w:val="nil"/>
            </w:tcBorders>
            <w:shd w:val="clear" w:color="auto" w:fill="auto"/>
            <w:noWrap/>
            <w:vAlign w:val="bottom"/>
            <w:hideMark/>
          </w:tcPr>
          <w:p w14:paraId="7AF3734A" w14:textId="77777777" w:rsidR="00C67E44" w:rsidRPr="00F5285D" w:rsidRDefault="00C67E44" w:rsidP="004725CE">
            <w:pPr>
              <w:rPr>
                <w:b/>
                <w:bCs/>
                <w:color w:val="000000"/>
                <w:sz w:val="22"/>
                <w:szCs w:val="22"/>
              </w:rPr>
            </w:pPr>
            <w:r w:rsidRPr="00F5285D">
              <w:rPr>
                <w:b/>
                <w:bCs/>
                <w:color w:val="000000"/>
                <w:sz w:val="22"/>
                <w:szCs w:val="22"/>
              </w:rPr>
              <w:t>Gemeinsamer Forstausschusses „Deutscher Kommunalwald“, Webkonferenz</w:t>
            </w:r>
          </w:p>
        </w:tc>
      </w:tr>
      <w:tr w:rsidR="00C67E44" w:rsidRPr="00F5285D" w14:paraId="3D7186E1" w14:textId="77777777" w:rsidTr="004725CE">
        <w:trPr>
          <w:trHeight w:val="300"/>
        </w:trPr>
        <w:tc>
          <w:tcPr>
            <w:tcW w:w="1960" w:type="dxa"/>
            <w:tcBorders>
              <w:top w:val="nil"/>
              <w:left w:val="nil"/>
              <w:bottom w:val="nil"/>
              <w:right w:val="nil"/>
            </w:tcBorders>
            <w:shd w:val="clear" w:color="auto" w:fill="auto"/>
            <w:noWrap/>
            <w:vAlign w:val="center"/>
            <w:hideMark/>
          </w:tcPr>
          <w:p w14:paraId="17A8AAC8" w14:textId="77777777" w:rsidR="00C67E44" w:rsidRPr="00F5285D" w:rsidRDefault="00C67E44" w:rsidP="004725CE">
            <w:pPr>
              <w:rPr>
                <w:b/>
                <w:bCs/>
                <w:color w:val="000000"/>
                <w:sz w:val="22"/>
                <w:szCs w:val="22"/>
              </w:rPr>
            </w:pPr>
          </w:p>
        </w:tc>
        <w:tc>
          <w:tcPr>
            <w:tcW w:w="7112" w:type="dxa"/>
            <w:tcBorders>
              <w:top w:val="nil"/>
              <w:left w:val="nil"/>
              <w:bottom w:val="nil"/>
              <w:right w:val="nil"/>
            </w:tcBorders>
            <w:shd w:val="clear" w:color="auto" w:fill="auto"/>
            <w:noWrap/>
            <w:vAlign w:val="center"/>
            <w:hideMark/>
          </w:tcPr>
          <w:p w14:paraId="3CAC6A29" w14:textId="77777777" w:rsidR="00C67E44" w:rsidRPr="00F5285D" w:rsidRDefault="00C67E44" w:rsidP="004725CE">
            <w:pPr>
              <w:rPr>
                <w:rFonts w:ascii="Times New Roman" w:hAnsi="Times New Roman" w:cs="Times New Roman"/>
                <w:sz w:val="20"/>
                <w:szCs w:val="20"/>
              </w:rPr>
            </w:pPr>
          </w:p>
        </w:tc>
      </w:tr>
      <w:tr w:rsidR="00861342" w:rsidRPr="00F5285D" w14:paraId="2F5D4FE6" w14:textId="77777777" w:rsidTr="004725CE">
        <w:trPr>
          <w:trHeight w:val="300"/>
        </w:trPr>
        <w:tc>
          <w:tcPr>
            <w:tcW w:w="1960" w:type="dxa"/>
            <w:tcBorders>
              <w:top w:val="nil"/>
              <w:left w:val="nil"/>
              <w:bottom w:val="nil"/>
              <w:right w:val="nil"/>
            </w:tcBorders>
            <w:shd w:val="clear" w:color="auto" w:fill="auto"/>
            <w:noWrap/>
            <w:vAlign w:val="center"/>
          </w:tcPr>
          <w:p w14:paraId="4750335D" w14:textId="77777777" w:rsidR="00861342" w:rsidRPr="00F5285D" w:rsidRDefault="00861342" w:rsidP="004725CE">
            <w:pPr>
              <w:rPr>
                <w:b/>
                <w:bCs/>
                <w:color w:val="000000"/>
                <w:sz w:val="22"/>
                <w:szCs w:val="22"/>
              </w:rPr>
            </w:pPr>
            <w:r w:rsidRPr="00F5285D">
              <w:rPr>
                <w:b/>
                <w:bCs/>
                <w:sz w:val="22"/>
                <w:szCs w:val="22"/>
              </w:rPr>
              <w:t>►</w:t>
            </w:r>
            <w:r>
              <w:rPr>
                <w:b/>
                <w:bCs/>
                <w:color w:val="000000"/>
                <w:sz w:val="22"/>
                <w:szCs w:val="22"/>
              </w:rPr>
              <w:t>22.07.</w:t>
            </w:r>
          </w:p>
        </w:tc>
        <w:tc>
          <w:tcPr>
            <w:tcW w:w="7112" w:type="dxa"/>
            <w:tcBorders>
              <w:top w:val="nil"/>
              <w:left w:val="nil"/>
              <w:bottom w:val="nil"/>
              <w:right w:val="nil"/>
            </w:tcBorders>
            <w:shd w:val="clear" w:color="auto" w:fill="auto"/>
            <w:noWrap/>
            <w:vAlign w:val="center"/>
          </w:tcPr>
          <w:p w14:paraId="6ACF5784" w14:textId="77777777" w:rsidR="00861342" w:rsidRPr="00F5285D" w:rsidRDefault="00861342" w:rsidP="004725CE">
            <w:pPr>
              <w:rPr>
                <w:rFonts w:ascii="Times New Roman" w:hAnsi="Times New Roman" w:cs="Times New Roman"/>
                <w:sz w:val="20"/>
                <w:szCs w:val="20"/>
              </w:rPr>
            </w:pPr>
            <w:r w:rsidRPr="00861342">
              <w:rPr>
                <w:b/>
                <w:bCs/>
                <w:color w:val="000000"/>
                <w:sz w:val="22"/>
                <w:szCs w:val="22"/>
              </w:rPr>
              <w:t>DStGB-Veranstaltung „Kommunen gestalten Ernährung - Neue Handlungsfelder nachhaltiger Stadtentwicklung“, Geestland</w:t>
            </w:r>
          </w:p>
        </w:tc>
      </w:tr>
      <w:tr w:rsidR="00861342" w:rsidRPr="00F5285D" w14:paraId="5F5FBB0D" w14:textId="77777777" w:rsidTr="004725CE">
        <w:trPr>
          <w:trHeight w:val="300"/>
        </w:trPr>
        <w:tc>
          <w:tcPr>
            <w:tcW w:w="1960" w:type="dxa"/>
            <w:tcBorders>
              <w:top w:val="nil"/>
              <w:left w:val="nil"/>
              <w:bottom w:val="nil"/>
              <w:right w:val="nil"/>
            </w:tcBorders>
            <w:shd w:val="clear" w:color="auto" w:fill="auto"/>
            <w:noWrap/>
            <w:vAlign w:val="center"/>
          </w:tcPr>
          <w:p w14:paraId="29CF0897" w14:textId="77777777" w:rsidR="00861342" w:rsidRPr="00F5285D" w:rsidRDefault="00861342" w:rsidP="004725CE">
            <w:pPr>
              <w:rPr>
                <w:b/>
                <w:bCs/>
                <w:color w:val="000000"/>
                <w:sz w:val="22"/>
                <w:szCs w:val="22"/>
              </w:rPr>
            </w:pPr>
          </w:p>
        </w:tc>
        <w:tc>
          <w:tcPr>
            <w:tcW w:w="7112" w:type="dxa"/>
            <w:tcBorders>
              <w:top w:val="nil"/>
              <w:left w:val="nil"/>
              <w:bottom w:val="nil"/>
              <w:right w:val="nil"/>
            </w:tcBorders>
            <w:shd w:val="clear" w:color="auto" w:fill="auto"/>
            <w:noWrap/>
            <w:vAlign w:val="center"/>
          </w:tcPr>
          <w:p w14:paraId="06896120" w14:textId="77777777" w:rsidR="00861342" w:rsidRPr="00F5285D" w:rsidRDefault="00861342" w:rsidP="004725CE">
            <w:pPr>
              <w:rPr>
                <w:rFonts w:ascii="Times New Roman" w:hAnsi="Times New Roman" w:cs="Times New Roman"/>
                <w:sz w:val="20"/>
                <w:szCs w:val="20"/>
              </w:rPr>
            </w:pPr>
          </w:p>
        </w:tc>
      </w:tr>
      <w:tr w:rsidR="00C67E44" w:rsidRPr="00F5285D" w14:paraId="1141D559" w14:textId="77777777" w:rsidTr="004725CE">
        <w:trPr>
          <w:trHeight w:val="360"/>
        </w:trPr>
        <w:tc>
          <w:tcPr>
            <w:tcW w:w="1960" w:type="dxa"/>
            <w:tcBorders>
              <w:top w:val="nil"/>
              <w:left w:val="nil"/>
              <w:bottom w:val="nil"/>
              <w:right w:val="nil"/>
            </w:tcBorders>
            <w:shd w:val="clear" w:color="auto" w:fill="auto"/>
            <w:vAlign w:val="center"/>
            <w:hideMark/>
          </w:tcPr>
          <w:p w14:paraId="7697C4ED" w14:textId="77777777" w:rsidR="00C67E44" w:rsidRPr="00F5285D" w:rsidRDefault="00C67E44" w:rsidP="004725CE">
            <w:pPr>
              <w:rPr>
                <w:b/>
                <w:bCs/>
                <w:sz w:val="28"/>
                <w:szCs w:val="28"/>
              </w:rPr>
            </w:pPr>
            <w:r w:rsidRPr="00F5285D">
              <w:rPr>
                <w:b/>
                <w:bCs/>
                <w:sz w:val="28"/>
                <w:szCs w:val="28"/>
              </w:rPr>
              <w:t>August</w:t>
            </w:r>
          </w:p>
        </w:tc>
        <w:tc>
          <w:tcPr>
            <w:tcW w:w="7112" w:type="dxa"/>
            <w:tcBorders>
              <w:top w:val="nil"/>
              <w:left w:val="nil"/>
              <w:bottom w:val="nil"/>
              <w:right w:val="nil"/>
            </w:tcBorders>
            <w:shd w:val="clear" w:color="auto" w:fill="auto"/>
            <w:noWrap/>
            <w:vAlign w:val="center"/>
            <w:hideMark/>
          </w:tcPr>
          <w:p w14:paraId="376AA4D2" w14:textId="77777777" w:rsidR="00C67E44" w:rsidRPr="00F5285D" w:rsidRDefault="00C67E44" w:rsidP="004725CE">
            <w:pPr>
              <w:rPr>
                <w:b/>
                <w:bCs/>
                <w:sz w:val="28"/>
                <w:szCs w:val="28"/>
              </w:rPr>
            </w:pPr>
          </w:p>
        </w:tc>
      </w:tr>
      <w:tr w:rsidR="00C67E44" w:rsidRPr="00F5285D" w14:paraId="7EAD54D2" w14:textId="77777777" w:rsidTr="004725CE">
        <w:trPr>
          <w:trHeight w:val="300"/>
        </w:trPr>
        <w:tc>
          <w:tcPr>
            <w:tcW w:w="1960" w:type="dxa"/>
            <w:tcBorders>
              <w:top w:val="nil"/>
              <w:left w:val="nil"/>
              <w:bottom w:val="nil"/>
              <w:right w:val="nil"/>
            </w:tcBorders>
            <w:shd w:val="clear" w:color="auto" w:fill="auto"/>
            <w:vAlign w:val="center"/>
            <w:hideMark/>
          </w:tcPr>
          <w:p w14:paraId="25A26EA2" w14:textId="77777777" w:rsidR="00C67E44" w:rsidRPr="00F5285D" w:rsidRDefault="00C67E44" w:rsidP="004725CE">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637AF246" w14:textId="77777777" w:rsidR="00C67E44" w:rsidRPr="00F5285D" w:rsidRDefault="00C67E44" w:rsidP="004725CE">
            <w:pPr>
              <w:rPr>
                <w:rFonts w:ascii="Times New Roman" w:hAnsi="Times New Roman" w:cs="Times New Roman"/>
                <w:sz w:val="20"/>
                <w:szCs w:val="20"/>
              </w:rPr>
            </w:pPr>
          </w:p>
        </w:tc>
      </w:tr>
      <w:tr w:rsidR="00C67E44" w:rsidRPr="00F5285D" w14:paraId="0F3D0EBE" w14:textId="77777777" w:rsidTr="004725CE">
        <w:trPr>
          <w:trHeight w:val="300"/>
        </w:trPr>
        <w:tc>
          <w:tcPr>
            <w:tcW w:w="1960" w:type="dxa"/>
            <w:tcBorders>
              <w:top w:val="nil"/>
              <w:left w:val="nil"/>
              <w:bottom w:val="nil"/>
              <w:right w:val="nil"/>
            </w:tcBorders>
            <w:shd w:val="clear" w:color="auto" w:fill="auto"/>
            <w:vAlign w:val="center"/>
            <w:hideMark/>
          </w:tcPr>
          <w:p w14:paraId="5A9C03FC" w14:textId="77777777" w:rsidR="00C67E44" w:rsidRPr="00F5285D" w:rsidRDefault="00C67E44" w:rsidP="004725CE">
            <w:pPr>
              <w:rPr>
                <w:sz w:val="22"/>
                <w:szCs w:val="22"/>
              </w:rPr>
            </w:pPr>
            <w:r w:rsidRPr="00F5285D">
              <w:rPr>
                <w:sz w:val="22"/>
                <w:szCs w:val="22"/>
              </w:rPr>
              <w:t>12.08.</w:t>
            </w:r>
          </w:p>
        </w:tc>
        <w:tc>
          <w:tcPr>
            <w:tcW w:w="7112" w:type="dxa"/>
            <w:tcBorders>
              <w:top w:val="nil"/>
              <w:left w:val="nil"/>
              <w:bottom w:val="nil"/>
              <w:right w:val="nil"/>
            </w:tcBorders>
            <w:shd w:val="clear" w:color="auto" w:fill="auto"/>
            <w:vAlign w:val="center"/>
            <w:hideMark/>
          </w:tcPr>
          <w:p w14:paraId="2E51B297" w14:textId="77777777" w:rsidR="00C67E44" w:rsidRPr="00F5285D" w:rsidRDefault="00C67E44" w:rsidP="004725CE">
            <w:pPr>
              <w:rPr>
                <w:sz w:val="22"/>
                <w:szCs w:val="22"/>
              </w:rPr>
            </w:pPr>
            <w:r w:rsidRPr="00F5285D">
              <w:rPr>
                <w:sz w:val="22"/>
                <w:szCs w:val="22"/>
              </w:rPr>
              <w:t>Vorstand des Städtebundes Schleswig-Holstein</w:t>
            </w:r>
          </w:p>
        </w:tc>
      </w:tr>
      <w:tr w:rsidR="00C67E44" w:rsidRPr="00F5285D" w14:paraId="376837AB" w14:textId="77777777" w:rsidTr="004725CE">
        <w:trPr>
          <w:trHeight w:val="300"/>
        </w:trPr>
        <w:tc>
          <w:tcPr>
            <w:tcW w:w="1960" w:type="dxa"/>
            <w:tcBorders>
              <w:top w:val="nil"/>
              <w:left w:val="nil"/>
              <w:bottom w:val="nil"/>
              <w:right w:val="nil"/>
            </w:tcBorders>
            <w:shd w:val="clear" w:color="auto" w:fill="auto"/>
            <w:vAlign w:val="center"/>
            <w:hideMark/>
          </w:tcPr>
          <w:p w14:paraId="346B583B" w14:textId="77777777" w:rsidR="00C67E44" w:rsidRPr="00F5285D" w:rsidRDefault="00C67E44" w:rsidP="004725CE">
            <w:pPr>
              <w:rPr>
                <w:sz w:val="22"/>
                <w:szCs w:val="22"/>
              </w:rPr>
            </w:pPr>
          </w:p>
        </w:tc>
        <w:tc>
          <w:tcPr>
            <w:tcW w:w="7112" w:type="dxa"/>
            <w:tcBorders>
              <w:top w:val="nil"/>
              <w:left w:val="nil"/>
              <w:bottom w:val="nil"/>
              <w:right w:val="nil"/>
            </w:tcBorders>
            <w:shd w:val="clear" w:color="auto" w:fill="auto"/>
            <w:vAlign w:val="center"/>
            <w:hideMark/>
          </w:tcPr>
          <w:p w14:paraId="152494AC" w14:textId="77777777" w:rsidR="00C67E44" w:rsidRPr="00F5285D" w:rsidRDefault="00C67E44" w:rsidP="004725CE">
            <w:pPr>
              <w:rPr>
                <w:rFonts w:ascii="Times New Roman" w:hAnsi="Times New Roman" w:cs="Times New Roman"/>
                <w:sz w:val="20"/>
                <w:szCs w:val="20"/>
              </w:rPr>
            </w:pPr>
          </w:p>
        </w:tc>
      </w:tr>
      <w:tr w:rsidR="00C67E44" w:rsidRPr="00F5285D" w14:paraId="6056505F" w14:textId="77777777" w:rsidTr="004725CE">
        <w:trPr>
          <w:trHeight w:val="360"/>
        </w:trPr>
        <w:tc>
          <w:tcPr>
            <w:tcW w:w="1960" w:type="dxa"/>
            <w:tcBorders>
              <w:top w:val="nil"/>
              <w:left w:val="nil"/>
              <w:bottom w:val="nil"/>
              <w:right w:val="nil"/>
            </w:tcBorders>
            <w:shd w:val="clear" w:color="auto" w:fill="auto"/>
            <w:vAlign w:val="center"/>
            <w:hideMark/>
          </w:tcPr>
          <w:p w14:paraId="342C62E7" w14:textId="77777777" w:rsidR="00C67E44" w:rsidRPr="00F5285D" w:rsidRDefault="00C67E44" w:rsidP="004725CE">
            <w:pPr>
              <w:rPr>
                <w:b/>
                <w:bCs/>
                <w:sz w:val="28"/>
                <w:szCs w:val="28"/>
              </w:rPr>
            </w:pPr>
            <w:r w:rsidRPr="00F5285D">
              <w:rPr>
                <w:b/>
                <w:bCs/>
                <w:sz w:val="28"/>
                <w:szCs w:val="28"/>
              </w:rPr>
              <w:t>September</w:t>
            </w:r>
          </w:p>
        </w:tc>
        <w:tc>
          <w:tcPr>
            <w:tcW w:w="7112" w:type="dxa"/>
            <w:tcBorders>
              <w:top w:val="nil"/>
              <w:left w:val="nil"/>
              <w:bottom w:val="nil"/>
              <w:right w:val="nil"/>
            </w:tcBorders>
            <w:shd w:val="clear" w:color="auto" w:fill="auto"/>
            <w:noWrap/>
            <w:vAlign w:val="center"/>
            <w:hideMark/>
          </w:tcPr>
          <w:p w14:paraId="25DB1235" w14:textId="77777777" w:rsidR="00C67E44" w:rsidRPr="00F5285D" w:rsidRDefault="00C67E44" w:rsidP="004725CE">
            <w:pPr>
              <w:rPr>
                <w:b/>
                <w:bCs/>
                <w:sz w:val="28"/>
                <w:szCs w:val="28"/>
              </w:rPr>
            </w:pPr>
          </w:p>
        </w:tc>
      </w:tr>
      <w:tr w:rsidR="00C67E44" w:rsidRPr="00F5285D" w14:paraId="1D57E84C" w14:textId="77777777" w:rsidTr="004725CE">
        <w:trPr>
          <w:trHeight w:val="360"/>
        </w:trPr>
        <w:tc>
          <w:tcPr>
            <w:tcW w:w="1960" w:type="dxa"/>
            <w:tcBorders>
              <w:top w:val="nil"/>
              <w:left w:val="nil"/>
              <w:bottom w:val="nil"/>
              <w:right w:val="nil"/>
            </w:tcBorders>
            <w:shd w:val="clear" w:color="auto" w:fill="auto"/>
            <w:vAlign w:val="center"/>
            <w:hideMark/>
          </w:tcPr>
          <w:p w14:paraId="6A563389" w14:textId="77777777" w:rsidR="00C67E44" w:rsidRPr="00F5285D" w:rsidRDefault="00C67E44" w:rsidP="004725CE">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0804059C" w14:textId="77777777" w:rsidR="00C67E44" w:rsidRPr="00F5285D" w:rsidRDefault="00C67E44" w:rsidP="004725CE">
            <w:pPr>
              <w:rPr>
                <w:rFonts w:ascii="Times New Roman" w:hAnsi="Times New Roman" w:cs="Times New Roman"/>
                <w:sz w:val="20"/>
                <w:szCs w:val="20"/>
              </w:rPr>
            </w:pPr>
          </w:p>
        </w:tc>
      </w:tr>
      <w:tr w:rsidR="00C67E44" w:rsidRPr="00F5285D" w14:paraId="44C18DDC" w14:textId="77777777" w:rsidTr="004725CE">
        <w:trPr>
          <w:trHeight w:val="300"/>
        </w:trPr>
        <w:tc>
          <w:tcPr>
            <w:tcW w:w="1960" w:type="dxa"/>
            <w:tcBorders>
              <w:top w:val="nil"/>
              <w:left w:val="nil"/>
              <w:bottom w:val="nil"/>
              <w:right w:val="nil"/>
            </w:tcBorders>
            <w:shd w:val="clear" w:color="auto" w:fill="auto"/>
            <w:vAlign w:val="center"/>
            <w:hideMark/>
          </w:tcPr>
          <w:p w14:paraId="50776F0B" w14:textId="77777777" w:rsidR="00C67E44" w:rsidRPr="00F5285D" w:rsidRDefault="00C67E44" w:rsidP="004725CE">
            <w:pPr>
              <w:rPr>
                <w:sz w:val="22"/>
                <w:szCs w:val="22"/>
              </w:rPr>
            </w:pPr>
            <w:r w:rsidRPr="00F5285D">
              <w:rPr>
                <w:sz w:val="22"/>
                <w:szCs w:val="22"/>
              </w:rPr>
              <w:t>02.09.</w:t>
            </w:r>
          </w:p>
        </w:tc>
        <w:tc>
          <w:tcPr>
            <w:tcW w:w="7112" w:type="dxa"/>
            <w:tcBorders>
              <w:top w:val="nil"/>
              <w:left w:val="nil"/>
              <w:bottom w:val="nil"/>
              <w:right w:val="nil"/>
            </w:tcBorders>
            <w:shd w:val="clear" w:color="auto" w:fill="auto"/>
            <w:vAlign w:val="center"/>
            <w:hideMark/>
          </w:tcPr>
          <w:p w14:paraId="10EBE51F" w14:textId="77777777" w:rsidR="00C67E44" w:rsidRPr="00F5285D" w:rsidRDefault="00C67E44" w:rsidP="004725CE">
            <w:pPr>
              <w:rPr>
                <w:sz w:val="22"/>
                <w:szCs w:val="22"/>
              </w:rPr>
            </w:pPr>
            <w:r w:rsidRPr="00F5285D">
              <w:rPr>
                <w:sz w:val="22"/>
                <w:szCs w:val="22"/>
              </w:rPr>
              <w:t>Mitgliederversammlung des Hessischen Städtetags, Kassel</w:t>
            </w:r>
          </w:p>
        </w:tc>
      </w:tr>
      <w:tr w:rsidR="00C67E44" w:rsidRPr="00F5285D" w14:paraId="79BCCF71" w14:textId="77777777" w:rsidTr="004725CE">
        <w:trPr>
          <w:trHeight w:val="300"/>
        </w:trPr>
        <w:tc>
          <w:tcPr>
            <w:tcW w:w="1960" w:type="dxa"/>
            <w:tcBorders>
              <w:top w:val="nil"/>
              <w:left w:val="nil"/>
              <w:bottom w:val="nil"/>
              <w:right w:val="nil"/>
            </w:tcBorders>
            <w:shd w:val="clear" w:color="auto" w:fill="auto"/>
            <w:vAlign w:val="center"/>
            <w:hideMark/>
          </w:tcPr>
          <w:p w14:paraId="506C0238" w14:textId="77777777" w:rsidR="00C67E44" w:rsidRPr="00F5285D" w:rsidRDefault="00C67E44" w:rsidP="004725CE">
            <w:pPr>
              <w:rPr>
                <w:sz w:val="22"/>
                <w:szCs w:val="22"/>
              </w:rPr>
            </w:pPr>
          </w:p>
        </w:tc>
        <w:tc>
          <w:tcPr>
            <w:tcW w:w="7112" w:type="dxa"/>
            <w:tcBorders>
              <w:top w:val="nil"/>
              <w:left w:val="nil"/>
              <w:bottom w:val="nil"/>
              <w:right w:val="nil"/>
            </w:tcBorders>
            <w:shd w:val="clear" w:color="auto" w:fill="auto"/>
            <w:noWrap/>
            <w:vAlign w:val="center"/>
            <w:hideMark/>
          </w:tcPr>
          <w:p w14:paraId="5A9DFB41" w14:textId="77777777" w:rsidR="00C67E44" w:rsidRPr="00F5285D" w:rsidRDefault="00C67E44" w:rsidP="004725CE">
            <w:pPr>
              <w:rPr>
                <w:rFonts w:ascii="Times New Roman" w:hAnsi="Times New Roman" w:cs="Times New Roman"/>
                <w:sz w:val="20"/>
                <w:szCs w:val="20"/>
              </w:rPr>
            </w:pPr>
          </w:p>
        </w:tc>
      </w:tr>
      <w:tr w:rsidR="00C67E44" w:rsidRPr="00F5285D" w14:paraId="3F4F13F0" w14:textId="77777777" w:rsidTr="004725CE">
        <w:trPr>
          <w:trHeight w:val="300"/>
        </w:trPr>
        <w:tc>
          <w:tcPr>
            <w:tcW w:w="1960" w:type="dxa"/>
            <w:tcBorders>
              <w:top w:val="nil"/>
              <w:left w:val="nil"/>
              <w:bottom w:val="nil"/>
              <w:right w:val="nil"/>
            </w:tcBorders>
            <w:shd w:val="clear" w:color="auto" w:fill="auto"/>
            <w:vAlign w:val="center"/>
            <w:hideMark/>
          </w:tcPr>
          <w:p w14:paraId="5B6F124B" w14:textId="77777777" w:rsidR="00C67E44" w:rsidRPr="00F5285D" w:rsidRDefault="00C67E44" w:rsidP="004725CE">
            <w:pPr>
              <w:rPr>
                <w:b/>
                <w:bCs/>
                <w:sz w:val="22"/>
                <w:szCs w:val="22"/>
              </w:rPr>
            </w:pPr>
            <w:r w:rsidRPr="00F5285D">
              <w:rPr>
                <w:b/>
                <w:bCs/>
                <w:sz w:val="22"/>
                <w:szCs w:val="22"/>
              </w:rPr>
              <w:t>06.-07.09.</w:t>
            </w:r>
          </w:p>
        </w:tc>
        <w:tc>
          <w:tcPr>
            <w:tcW w:w="7112" w:type="dxa"/>
            <w:tcBorders>
              <w:top w:val="nil"/>
              <w:left w:val="nil"/>
              <w:bottom w:val="nil"/>
              <w:right w:val="nil"/>
            </w:tcBorders>
            <w:shd w:val="clear" w:color="auto" w:fill="auto"/>
            <w:vAlign w:val="center"/>
            <w:hideMark/>
          </w:tcPr>
          <w:p w14:paraId="4F1DA4FB" w14:textId="77777777" w:rsidR="00C67E44" w:rsidRPr="00F5285D" w:rsidRDefault="00C67E44" w:rsidP="004725CE">
            <w:pPr>
              <w:rPr>
                <w:b/>
                <w:bCs/>
                <w:sz w:val="22"/>
                <w:szCs w:val="22"/>
              </w:rPr>
            </w:pPr>
            <w:r w:rsidRPr="00F5285D">
              <w:rPr>
                <w:b/>
                <w:bCs/>
                <w:sz w:val="22"/>
                <w:szCs w:val="22"/>
              </w:rPr>
              <w:t>DStGB-Ausschuss für Europafragen, Brüssel</w:t>
            </w:r>
          </w:p>
        </w:tc>
      </w:tr>
      <w:tr w:rsidR="00C67E44" w:rsidRPr="00F5285D" w14:paraId="39C06AD9" w14:textId="77777777" w:rsidTr="004725CE">
        <w:trPr>
          <w:trHeight w:val="300"/>
        </w:trPr>
        <w:tc>
          <w:tcPr>
            <w:tcW w:w="1960" w:type="dxa"/>
            <w:tcBorders>
              <w:top w:val="nil"/>
              <w:left w:val="nil"/>
              <w:bottom w:val="nil"/>
              <w:right w:val="nil"/>
            </w:tcBorders>
            <w:shd w:val="clear" w:color="auto" w:fill="auto"/>
            <w:noWrap/>
            <w:vAlign w:val="center"/>
            <w:hideMark/>
          </w:tcPr>
          <w:p w14:paraId="57BCC776" w14:textId="77777777" w:rsidR="00C67E44" w:rsidRPr="00F5285D" w:rsidRDefault="00C67E44" w:rsidP="004725CE">
            <w:pPr>
              <w:rPr>
                <w:b/>
                <w:bCs/>
                <w:sz w:val="22"/>
                <w:szCs w:val="22"/>
              </w:rPr>
            </w:pPr>
          </w:p>
        </w:tc>
        <w:tc>
          <w:tcPr>
            <w:tcW w:w="7112" w:type="dxa"/>
            <w:tcBorders>
              <w:top w:val="nil"/>
              <w:left w:val="nil"/>
              <w:bottom w:val="nil"/>
              <w:right w:val="nil"/>
            </w:tcBorders>
            <w:shd w:val="clear" w:color="auto" w:fill="auto"/>
            <w:noWrap/>
            <w:vAlign w:val="center"/>
            <w:hideMark/>
          </w:tcPr>
          <w:p w14:paraId="003CDB94" w14:textId="77777777" w:rsidR="00C67E44" w:rsidRPr="00F5285D" w:rsidRDefault="00C67E44" w:rsidP="004725CE">
            <w:pPr>
              <w:rPr>
                <w:rFonts w:ascii="Times New Roman" w:hAnsi="Times New Roman" w:cs="Times New Roman"/>
                <w:sz w:val="20"/>
                <w:szCs w:val="20"/>
              </w:rPr>
            </w:pPr>
          </w:p>
        </w:tc>
      </w:tr>
      <w:tr w:rsidR="00C67E44" w:rsidRPr="00F5285D" w14:paraId="4E6B3561" w14:textId="77777777" w:rsidTr="004725CE">
        <w:trPr>
          <w:trHeight w:val="300"/>
        </w:trPr>
        <w:tc>
          <w:tcPr>
            <w:tcW w:w="1960" w:type="dxa"/>
            <w:tcBorders>
              <w:top w:val="nil"/>
              <w:left w:val="nil"/>
              <w:bottom w:val="nil"/>
              <w:right w:val="nil"/>
            </w:tcBorders>
            <w:shd w:val="clear" w:color="auto" w:fill="auto"/>
            <w:vAlign w:val="center"/>
            <w:hideMark/>
          </w:tcPr>
          <w:p w14:paraId="25CFD583" w14:textId="77777777" w:rsidR="00C67E44" w:rsidRPr="00F5285D" w:rsidRDefault="00C67E44" w:rsidP="004725CE">
            <w:pPr>
              <w:rPr>
                <w:sz w:val="22"/>
                <w:szCs w:val="22"/>
              </w:rPr>
            </w:pPr>
            <w:r w:rsidRPr="00F5285D">
              <w:rPr>
                <w:sz w:val="22"/>
                <w:szCs w:val="22"/>
              </w:rPr>
              <w:t>08.09.</w:t>
            </w:r>
          </w:p>
        </w:tc>
        <w:tc>
          <w:tcPr>
            <w:tcW w:w="7112" w:type="dxa"/>
            <w:tcBorders>
              <w:top w:val="nil"/>
              <w:left w:val="nil"/>
              <w:bottom w:val="nil"/>
              <w:right w:val="nil"/>
            </w:tcBorders>
            <w:shd w:val="clear" w:color="auto" w:fill="auto"/>
            <w:vAlign w:val="center"/>
            <w:hideMark/>
          </w:tcPr>
          <w:p w14:paraId="313EB9D0" w14:textId="77777777" w:rsidR="00C67E44" w:rsidRPr="00F5285D" w:rsidRDefault="00C67E44" w:rsidP="004725CE">
            <w:pPr>
              <w:rPr>
                <w:sz w:val="22"/>
                <w:szCs w:val="22"/>
              </w:rPr>
            </w:pPr>
            <w:r w:rsidRPr="00F5285D">
              <w:rPr>
                <w:sz w:val="22"/>
                <w:szCs w:val="22"/>
              </w:rPr>
              <w:t>Rechts- und Verfassungsausschuss des Städteverbandes Schleswig-Holstein</w:t>
            </w:r>
          </w:p>
        </w:tc>
      </w:tr>
      <w:tr w:rsidR="00C67E44" w:rsidRPr="00F5285D" w14:paraId="3DD1DA08" w14:textId="77777777" w:rsidTr="004725CE">
        <w:trPr>
          <w:trHeight w:val="300"/>
        </w:trPr>
        <w:tc>
          <w:tcPr>
            <w:tcW w:w="1960" w:type="dxa"/>
            <w:tcBorders>
              <w:top w:val="nil"/>
              <w:left w:val="nil"/>
              <w:bottom w:val="nil"/>
              <w:right w:val="nil"/>
            </w:tcBorders>
            <w:shd w:val="clear" w:color="auto" w:fill="auto"/>
            <w:vAlign w:val="center"/>
            <w:hideMark/>
          </w:tcPr>
          <w:p w14:paraId="01EBBBC2" w14:textId="77777777" w:rsidR="00C67E44" w:rsidRPr="00F5285D" w:rsidRDefault="00C67E44" w:rsidP="004725CE">
            <w:pPr>
              <w:rPr>
                <w:sz w:val="22"/>
                <w:szCs w:val="22"/>
              </w:rPr>
            </w:pPr>
          </w:p>
        </w:tc>
        <w:tc>
          <w:tcPr>
            <w:tcW w:w="7112" w:type="dxa"/>
            <w:tcBorders>
              <w:top w:val="nil"/>
              <w:left w:val="nil"/>
              <w:bottom w:val="nil"/>
              <w:right w:val="nil"/>
            </w:tcBorders>
            <w:shd w:val="clear" w:color="auto" w:fill="auto"/>
            <w:vAlign w:val="center"/>
            <w:hideMark/>
          </w:tcPr>
          <w:p w14:paraId="4B8EBC12" w14:textId="77777777" w:rsidR="00C67E44" w:rsidRPr="00F5285D" w:rsidRDefault="00C67E44" w:rsidP="004725CE">
            <w:pPr>
              <w:rPr>
                <w:rFonts w:ascii="Times New Roman" w:hAnsi="Times New Roman" w:cs="Times New Roman"/>
                <w:sz w:val="20"/>
                <w:szCs w:val="20"/>
              </w:rPr>
            </w:pPr>
          </w:p>
        </w:tc>
      </w:tr>
      <w:tr w:rsidR="00C67E44" w:rsidRPr="00F5285D" w14:paraId="67451E63" w14:textId="77777777" w:rsidTr="004725CE">
        <w:trPr>
          <w:trHeight w:val="300"/>
        </w:trPr>
        <w:tc>
          <w:tcPr>
            <w:tcW w:w="1960" w:type="dxa"/>
            <w:tcBorders>
              <w:top w:val="nil"/>
              <w:left w:val="nil"/>
              <w:bottom w:val="nil"/>
              <w:right w:val="nil"/>
            </w:tcBorders>
            <w:shd w:val="clear" w:color="auto" w:fill="auto"/>
            <w:vAlign w:val="center"/>
            <w:hideMark/>
          </w:tcPr>
          <w:p w14:paraId="36A62712" w14:textId="77777777" w:rsidR="00C67E44" w:rsidRPr="00F5285D" w:rsidRDefault="00C67E44" w:rsidP="004725CE">
            <w:pPr>
              <w:rPr>
                <w:sz w:val="22"/>
                <w:szCs w:val="22"/>
              </w:rPr>
            </w:pPr>
            <w:r w:rsidRPr="00F5285D">
              <w:rPr>
                <w:sz w:val="22"/>
                <w:szCs w:val="22"/>
              </w:rPr>
              <w:t>13.09.</w:t>
            </w:r>
          </w:p>
        </w:tc>
        <w:tc>
          <w:tcPr>
            <w:tcW w:w="7112" w:type="dxa"/>
            <w:tcBorders>
              <w:top w:val="nil"/>
              <w:left w:val="nil"/>
              <w:bottom w:val="nil"/>
              <w:right w:val="nil"/>
            </w:tcBorders>
            <w:shd w:val="clear" w:color="auto" w:fill="auto"/>
            <w:vAlign w:val="center"/>
            <w:hideMark/>
          </w:tcPr>
          <w:p w14:paraId="1F359FEE" w14:textId="77777777" w:rsidR="00C67E44" w:rsidRPr="00F5285D" w:rsidRDefault="00C67E44" w:rsidP="004725CE">
            <w:pPr>
              <w:rPr>
                <w:sz w:val="22"/>
                <w:szCs w:val="22"/>
              </w:rPr>
            </w:pPr>
            <w:r w:rsidRPr="00F5285D">
              <w:rPr>
                <w:sz w:val="22"/>
                <w:szCs w:val="22"/>
              </w:rPr>
              <w:t>196. Präsidiumssitzung des Städte- und Gemeindebundes Sachsen-Anhalt</w:t>
            </w:r>
          </w:p>
        </w:tc>
      </w:tr>
      <w:tr w:rsidR="00C67E44" w:rsidRPr="00F5285D" w14:paraId="51EFB965" w14:textId="77777777" w:rsidTr="004725CE">
        <w:trPr>
          <w:trHeight w:val="300"/>
        </w:trPr>
        <w:tc>
          <w:tcPr>
            <w:tcW w:w="1960" w:type="dxa"/>
            <w:tcBorders>
              <w:top w:val="nil"/>
              <w:left w:val="nil"/>
              <w:bottom w:val="nil"/>
              <w:right w:val="nil"/>
            </w:tcBorders>
            <w:shd w:val="clear" w:color="auto" w:fill="auto"/>
            <w:noWrap/>
            <w:vAlign w:val="center"/>
            <w:hideMark/>
          </w:tcPr>
          <w:p w14:paraId="61ABAD41" w14:textId="77777777" w:rsidR="00C67E44" w:rsidRPr="00F5285D" w:rsidRDefault="00C67E44" w:rsidP="004725CE">
            <w:pPr>
              <w:rPr>
                <w:sz w:val="22"/>
                <w:szCs w:val="22"/>
              </w:rPr>
            </w:pPr>
          </w:p>
        </w:tc>
        <w:tc>
          <w:tcPr>
            <w:tcW w:w="7112" w:type="dxa"/>
            <w:tcBorders>
              <w:top w:val="nil"/>
              <w:left w:val="nil"/>
              <w:bottom w:val="nil"/>
              <w:right w:val="nil"/>
            </w:tcBorders>
            <w:shd w:val="clear" w:color="auto" w:fill="auto"/>
            <w:noWrap/>
            <w:vAlign w:val="center"/>
            <w:hideMark/>
          </w:tcPr>
          <w:p w14:paraId="12228908" w14:textId="77777777" w:rsidR="00C67E44" w:rsidRPr="00F5285D" w:rsidRDefault="00C67E44" w:rsidP="004725CE">
            <w:pPr>
              <w:rPr>
                <w:rFonts w:ascii="Times New Roman" w:hAnsi="Times New Roman" w:cs="Times New Roman"/>
                <w:sz w:val="20"/>
                <w:szCs w:val="20"/>
              </w:rPr>
            </w:pPr>
          </w:p>
        </w:tc>
      </w:tr>
      <w:tr w:rsidR="00C67E44" w:rsidRPr="00F5285D" w14:paraId="7044BA6E" w14:textId="77777777" w:rsidTr="004725CE">
        <w:trPr>
          <w:trHeight w:val="300"/>
        </w:trPr>
        <w:tc>
          <w:tcPr>
            <w:tcW w:w="1960" w:type="dxa"/>
            <w:tcBorders>
              <w:top w:val="nil"/>
              <w:left w:val="nil"/>
              <w:bottom w:val="nil"/>
              <w:right w:val="nil"/>
            </w:tcBorders>
            <w:shd w:val="clear" w:color="auto" w:fill="auto"/>
            <w:vAlign w:val="center"/>
            <w:hideMark/>
          </w:tcPr>
          <w:p w14:paraId="74A82816" w14:textId="77777777" w:rsidR="00C67E44" w:rsidRPr="00F5285D" w:rsidRDefault="00C67E44" w:rsidP="004725CE">
            <w:pPr>
              <w:rPr>
                <w:b/>
                <w:bCs/>
                <w:sz w:val="22"/>
                <w:szCs w:val="22"/>
              </w:rPr>
            </w:pPr>
            <w:r w:rsidRPr="00F5285D">
              <w:rPr>
                <w:b/>
                <w:bCs/>
                <w:sz w:val="22"/>
                <w:szCs w:val="22"/>
              </w:rPr>
              <w:t>13.-14.09.</w:t>
            </w:r>
          </w:p>
        </w:tc>
        <w:tc>
          <w:tcPr>
            <w:tcW w:w="7112" w:type="dxa"/>
            <w:tcBorders>
              <w:top w:val="nil"/>
              <w:left w:val="nil"/>
              <w:bottom w:val="nil"/>
              <w:right w:val="nil"/>
            </w:tcBorders>
            <w:shd w:val="clear" w:color="auto" w:fill="auto"/>
            <w:vAlign w:val="center"/>
            <w:hideMark/>
          </w:tcPr>
          <w:p w14:paraId="7216D05F" w14:textId="77777777" w:rsidR="00C67E44" w:rsidRPr="00F5285D" w:rsidRDefault="00C67E44" w:rsidP="004725CE">
            <w:pPr>
              <w:rPr>
                <w:b/>
                <w:bCs/>
                <w:sz w:val="22"/>
                <w:szCs w:val="22"/>
              </w:rPr>
            </w:pPr>
            <w:r w:rsidRPr="00F5285D">
              <w:rPr>
                <w:b/>
                <w:bCs/>
                <w:sz w:val="22"/>
                <w:szCs w:val="22"/>
              </w:rPr>
              <w:t>DStGB-Ausschuss für Städtebau und Umwelt, Isernhagen</w:t>
            </w:r>
          </w:p>
        </w:tc>
      </w:tr>
      <w:tr w:rsidR="00C67E44" w:rsidRPr="00F5285D" w14:paraId="5FD60B76" w14:textId="77777777" w:rsidTr="004725CE">
        <w:trPr>
          <w:trHeight w:val="300"/>
        </w:trPr>
        <w:tc>
          <w:tcPr>
            <w:tcW w:w="1960" w:type="dxa"/>
            <w:tcBorders>
              <w:top w:val="nil"/>
              <w:left w:val="nil"/>
              <w:bottom w:val="nil"/>
              <w:right w:val="nil"/>
            </w:tcBorders>
            <w:shd w:val="clear" w:color="auto" w:fill="auto"/>
            <w:noWrap/>
            <w:vAlign w:val="bottom"/>
            <w:hideMark/>
          </w:tcPr>
          <w:p w14:paraId="17B0F9C9" w14:textId="77777777" w:rsidR="00C67E44" w:rsidRPr="00F5285D" w:rsidRDefault="00C67E44" w:rsidP="004725CE">
            <w:pPr>
              <w:rPr>
                <w:b/>
                <w:bCs/>
                <w:sz w:val="22"/>
                <w:szCs w:val="22"/>
              </w:rPr>
            </w:pPr>
          </w:p>
        </w:tc>
        <w:tc>
          <w:tcPr>
            <w:tcW w:w="7112" w:type="dxa"/>
            <w:tcBorders>
              <w:top w:val="nil"/>
              <w:left w:val="nil"/>
              <w:bottom w:val="nil"/>
              <w:right w:val="nil"/>
            </w:tcBorders>
            <w:shd w:val="clear" w:color="auto" w:fill="auto"/>
            <w:noWrap/>
            <w:vAlign w:val="bottom"/>
            <w:hideMark/>
          </w:tcPr>
          <w:p w14:paraId="7B6B562E" w14:textId="77777777" w:rsidR="00C67E44" w:rsidRPr="00F5285D" w:rsidRDefault="00C67E44" w:rsidP="004725CE">
            <w:pPr>
              <w:rPr>
                <w:rFonts w:ascii="Times New Roman" w:hAnsi="Times New Roman" w:cs="Times New Roman"/>
                <w:sz w:val="20"/>
                <w:szCs w:val="20"/>
              </w:rPr>
            </w:pPr>
          </w:p>
        </w:tc>
      </w:tr>
      <w:tr w:rsidR="00C67E44" w:rsidRPr="00F5285D" w14:paraId="13BF7E7D" w14:textId="77777777" w:rsidTr="004725CE">
        <w:trPr>
          <w:trHeight w:val="300"/>
        </w:trPr>
        <w:tc>
          <w:tcPr>
            <w:tcW w:w="1960" w:type="dxa"/>
            <w:tcBorders>
              <w:top w:val="nil"/>
              <w:left w:val="nil"/>
              <w:bottom w:val="nil"/>
              <w:right w:val="nil"/>
            </w:tcBorders>
            <w:shd w:val="clear" w:color="auto" w:fill="auto"/>
            <w:vAlign w:val="center"/>
            <w:hideMark/>
          </w:tcPr>
          <w:p w14:paraId="3182854F" w14:textId="77777777" w:rsidR="00C67E44" w:rsidRPr="00F5285D" w:rsidRDefault="00C67E44" w:rsidP="004725CE">
            <w:pPr>
              <w:rPr>
                <w:sz w:val="22"/>
                <w:szCs w:val="22"/>
              </w:rPr>
            </w:pPr>
            <w:r w:rsidRPr="00F5285D">
              <w:rPr>
                <w:sz w:val="22"/>
                <w:szCs w:val="22"/>
              </w:rPr>
              <w:t>15.09.</w:t>
            </w:r>
          </w:p>
        </w:tc>
        <w:tc>
          <w:tcPr>
            <w:tcW w:w="7112" w:type="dxa"/>
            <w:tcBorders>
              <w:top w:val="nil"/>
              <w:left w:val="nil"/>
              <w:bottom w:val="nil"/>
              <w:right w:val="nil"/>
            </w:tcBorders>
            <w:shd w:val="clear" w:color="auto" w:fill="auto"/>
            <w:vAlign w:val="center"/>
            <w:hideMark/>
          </w:tcPr>
          <w:p w14:paraId="77410090" w14:textId="77777777" w:rsidR="00C67E44" w:rsidRPr="00F5285D" w:rsidRDefault="00C67E44" w:rsidP="004725CE">
            <w:pPr>
              <w:rPr>
                <w:sz w:val="22"/>
                <w:szCs w:val="22"/>
              </w:rPr>
            </w:pPr>
            <w:r w:rsidRPr="00F5285D">
              <w:rPr>
                <w:sz w:val="22"/>
                <w:szCs w:val="22"/>
              </w:rPr>
              <w:t xml:space="preserve">Präsidiumssitzung des Gemeindetags Baden-Württemberg </w:t>
            </w:r>
          </w:p>
        </w:tc>
      </w:tr>
      <w:tr w:rsidR="00C67E44" w:rsidRPr="00F5285D" w14:paraId="22609075" w14:textId="77777777" w:rsidTr="004725CE">
        <w:trPr>
          <w:trHeight w:val="300"/>
        </w:trPr>
        <w:tc>
          <w:tcPr>
            <w:tcW w:w="1960" w:type="dxa"/>
            <w:tcBorders>
              <w:top w:val="nil"/>
              <w:left w:val="nil"/>
              <w:bottom w:val="nil"/>
              <w:right w:val="nil"/>
            </w:tcBorders>
            <w:shd w:val="clear" w:color="auto" w:fill="auto"/>
            <w:noWrap/>
            <w:vAlign w:val="center"/>
            <w:hideMark/>
          </w:tcPr>
          <w:p w14:paraId="346443B9" w14:textId="77777777" w:rsidR="00C67E44" w:rsidRPr="00F5285D" w:rsidRDefault="00C67E44" w:rsidP="004725CE">
            <w:pPr>
              <w:rPr>
                <w:sz w:val="22"/>
                <w:szCs w:val="22"/>
              </w:rPr>
            </w:pPr>
          </w:p>
        </w:tc>
        <w:tc>
          <w:tcPr>
            <w:tcW w:w="7112" w:type="dxa"/>
            <w:tcBorders>
              <w:top w:val="nil"/>
              <w:left w:val="nil"/>
              <w:bottom w:val="nil"/>
              <w:right w:val="nil"/>
            </w:tcBorders>
            <w:shd w:val="clear" w:color="auto" w:fill="auto"/>
            <w:noWrap/>
            <w:vAlign w:val="center"/>
            <w:hideMark/>
          </w:tcPr>
          <w:p w14:paraId="0586E089" w14:textId="77777777" w:rsidR="00C67E44" w:rsidRPr="00F5285D" w:rsidRDefault="00C67E44" w:rsidP="004725CE">
            <w:pPr>
              <w:rPr>
                <w:rFonts w:ascii="Times New Roman" w:hAnsi="Times New Roman" w:cs="Times New Roman"/>
                <w:sz w:val="20"/>
                <w:szCs w:val="20"/>
              </w:rPr>
            </w:pPr>
          </w:p>
        </w:tc>
      </w:tr>
      <w:tr w:rsidR="00C67E44" w:rsidRPr="00F5285D" w14:paraId="09595EB6" w14:textId="77777777" w:rsidTr="004725CE">
        <w:trPr>
          <w:trHeight w:val="570"/>
        </w:trPr>
        <w:tc>
          <w:tcPr>
            <w:tcW w:w="1960" w:type="dxa"/>
            <w:tcBorders>
              <w:top w:val="nil"/>
              <w:left w:val="nil"/>
              <w:bottom w:val="nil"/>
              <w:right w:val="nil"/>
            </w:tcBorders>
            <w:shd w:val="clear" w:color="auto" w:fill="auto"/>
            <w:vAlign w:val="center"/>
            <w:hideMark/>
          </w:tcPr>
          <w:p w14:paraId="6D92A42E" w14:textId="77777777" w:rsidR="00C67E44" w:rsidRPr="00F5285D" w:rsidRDefault="00C67E44" w:rsidP="004725CE">
            <w:pPr>
              <w:rPr>
                <w:sz w:val="22"/>
                <w:szCs w:val="22"/>
              </w:rPr>
            </w:pPr>
            <w:r w:rsidRPr="00F5285D">
              <w:rPr>
                <w:sz w:val="22"/>
                <w:szCs w:val="22"/>
              </w:rPr>
              <w:t>15.09.</w:t>
            </w:r>
          </w:p>
        </w:tc>
        <w:tc>
          <w:tcPr>
            <w:tcW w:w="7112" w:type="dxa"/>
            <w:tcBorders>
              <w:top w:val="nil"/>
              <w:left w:val="nil"/>
              <w:bottom w:val="nil"/>
              <w:right w:val="nil"/>
            </w:tcBorders>
            <w:shd w:val="clear" w:color="auto" w:fill="auto"/>
            <w:vAlign w:val="center"/>
            <w:hideMark/>
          </w:tcPr>
          <w:p w14:paraId="2DB16416" w14:textId="77777777" w:rsidR="00C67E44" w:rsidRPr="00F5285D" w:rsidRDefault="00C67E44" w:rsidP="004725CE">
            <w:pPr>
              <w:rPr>
                <w:sz w:val="22"/>
                <w:szCs w:val="22"/>
              </w:rPr>
            </w:pPr>
            <w:r w:rsidRPr="00F5285D">
              <w:rPr>
                <w:sz w:val="22"/>
                <w:szCs w:val="22"/>
              </w:rPr>
              <w:t>Präsidium- und Hauptausschusssitzung des Hessischen Städte- und Gemeindebundes, Mühlheim am Main</w:t>
            </w:r>
          </w:p>
        </w:tc>
      </w:tr>
      <w:tr w:rsidR="00C67E44" w:rsidRPr="00F5285D" w14:paraId="28C09B5C" w14:textId="77777777" w:rsidTr="004725CE">
        <w:trPr>
          <w:trHeight w:val="300"/>
        </w:trPr>
        <w:tc>
          <w:tcPr>
            <w:tcW w:w="1960" w:type="dxa"/>
            <w:tcBorders>
              <w:top w:val="nil"/>
              <w:left w:val="nil"/>
              <w:bottom w:val="nil"/>
              <w:right w:val="nil"/>
            </w:tcBorders>
            <w:shd w:val="clear" w:color="auto" w:fill="auto"/>
            <w:noWrap/>
            <w:vAlign w:val="center"/>
            <w:hideMark/>
          </w:tcPr>
          <w:p w14:paraId="449320DE" w14:textId="77777777" w:rsidR="00C67E44" w:rsidRPr="00F5285D" w:rsidRDefault="00C67E44" w:rsidP="004725CE">
            <w:pPr>
              <w:rPr>
                <w:sz w:val="22"/>
                <w:szCs w:val="22"/>
              </w:rPr>
            </w:pPr>
          </w:p>
        </w:tc>
        <w:tc>
          <w:tcPr>
            <w:tcW w:w="7112" w:type="dxa"/>
            <w:tcBorders>
              <w:top w:val="nil"/>
              <w:left w:val="nil"/>
              <w:bottom w:val="nil"/>
              <w:right w:val="nil"/>
            </w:tcBorders>
            <w:shd w:val="clear" w:color="auto" w:fill="auto"/>
            <w:noWrap/>
            <w:vAlign w:val="center"/>
            <w:hideMark/>
          </w:tcPr>
          <w:p w14:paraId="5B60B9B1" w14:textId="77777777" w:rsidR="00C67E44" w:rsidRPr="00F5285D" w:rsidRDefault="00C67E44" w:rsidP="004725CE">
            <w:pPr>
              <w:rPr>
                <w:rFonts w:ascii="Times New Roman" w:hAnsi="Times New Roman" w:cs="Times New Roman"/>
                <w:sz w:val="20"/>
                <w:szCs w:val="20"/>
              </w:rPr>
            </w:pPr>
          </w:p>
        </w:tc>
      </w:tr>
      <w:tr w:rsidR="00C67E44" w:rsidRPr="00F5285D" w14:paraId="44DE4622" w14:textId="77777777" w:rsidTr="004725CE">
        <w:trPr>
          <w:trHeight w:val="570"/>
        </w:trPr>
        <w:tc>
          <w:tcPr>
            <w:tcW w:w="1960" w:type="dxa"/>
            <w:tcBorders>
              <w:top w:val="nil"/>
              <w:left w:val="nil"/>
              <w:bottom w:val="nil"/>
              <w:right w:val="nil"/>
            </w:tcBorders>
            <w:shd w:val="clear" w:color="auto" w:fill="auto"/>
            <w:vAlign w:val="center"/>
            <w:hideMark/>
          </w:tcPr>
          <w:p w14:paraId="0014ED05" w14:textId="77777777" w:rsidR="00C67E44" w:rsidRPr="00F5285D" w:rsidRDefault="00C67E44" w:rsidP="004725CE">
            <w:pPr>
              <w:rPr>
                <w:sz w:val="22"/>
                <w:szCs w:val="22"/>
              </w:rPr>
            </w:pPr>
            <w:r w:rsidRPr="00F5285D">
              <w:rPr>
                <w:sz w:val="22"/>
                <w:szCs w:val="22"/>
              </w:rPr>
              <w:t>16.09.</w:t>
            </w:r>
          </w:p>
        </w:tc>
        <w:tc>
          <w:tcPr>
            <w:tcW w:w="7112" w:type="dxa"/>
            <w:tcBorders>
              <w:top w:val="nil"/>
              <w:left w:val="nil"/>
              <w:bottom w:val="nil"/>
              <w:right w:val="nil"/>
            </w:tcBorders>
            <w:shd w:val="clear" w:color="auto" w:fill="auto"/>
            <w:vAlign w:val="center"/>
            <w:hideMark/>
          </w:tcPr>
          <w:p w14:paraId="3DD58F11" w14:textId="77777777" w:rsidR="00C67E44" w:rsidRPr="00F5285D" w:rsidRDefault="00C67E44" w:rsidP="004725CE">
            <w:pPr>
              <w:rPr>
                <w:sz w:val="22"/>
                <w:szCs w:val="22"/>
              </w:rPr>
            </w:pPr>
            <w:r w:rsidRPr="00F5285D">
              <w:rPr>
                <w:sz w:val="22"/>
                <w:szCs w:val="22"/>
              </w:rPr>
              <w:t>Mitgliederversammlung des Hessischen Städte- und Gemeindebundes und Festakt "75 Jahre HSGB", Mühlheim am Main</w:t>
            </w:r>
          </w:p>
        </w:tc>
      </w:tr>
      <w:tr w:rsidR="00C67E44" w:rsidRPr="00F5285D" w14:paraId="194C6DAF" w14:textId="77777777" w:rsidTr="004725CE">
        <w:trPr>
          <w:trHeight w:val="300"/>
        </w:trPr>
        <w:tc>
          <w:tcPr>
            <w:tcW w:w="1960" w:type="dxa"/>
            <w:tcBorders>
              <w:top w:val="nil"/>
              <w:left w:val="nil"/>
              <w:bottom w:val="nil"/>
              <w:right w:val="nil"/>
            </w:tcBorders>
            <w:shd w:val="clear" w:color="auto" w:fill="auto"/>
            <w:noWrap/>
            <w:vAlign w:val="center"/>
            <w:hideMark/>
          </w:tcPr>
          <w:p w14:paraId="1E356E5B" w14:textId="77777777" w:rsidR="00C67E44" w:rsidRPr="00F5285D" w:rsidRDefault="00C67E44" w:rsidP="004725CE">
            <w:pPr>
              <w:rPr>
                <w:sz w:val="22"/>
                <w:szCs w:val="22"/>
              </w:rPr>
            </w:pPr>
          </w:p>
        </w:tc>
        <w:tc>
          <w:tcPr>
            <w:tcW w:w="7112" w:type="dxa"/>
            <w:tcBorders>
              <w:top w:val="nil"/>
              <w:left w:val="nil"/>
              <w:bottom w:val="nil"/>
              <w:right w:val="nil"/>
            </w:tcBorders>
            <w:shd w:val="clear" w:color="auto" w:fill="auto"/>
            <w:noWrap/>
            <w:vAlign w:val="center"/>
            <w:hideMark/>
          </w:tcPr>
          <w:p w14:paraId="02D75109" w14:textId="77777777" w:rsidR="00C67E44" w:rsidRPr="00F5285D" w:rsidRDefault="00C67E44" w:rsidP="004725CE">
            <w:pPr>
              <w:rPr>
                <w:rFonts w:ascii="Times New Roman" w:hAnsi="Times New Roman" w:cs="Times New Roman"/>
                <w:sz w:val="20"/>
                <w:szCs w:val="20"/>
              </w:rPr>
            </w:pPr>
          </w:p>
        </w:tc>
      </w:tr>
      <w:tr w:rsidR="00C67E44" w:rsidRPr="00F5285D" w14:paraId="50A9DBFB" w14:textId="77777777" w:rsidTr="004725CE">
        <w:trPr>
          <w:trHeight w:val="300"/>
        </w:trPr>
        <w:tc>
          <w:tcPr>
            <w:tcW w:w="1960" w:type="dxa"/>
            <w:tcBorders>
              <w:top w:val="nil"/>
              <w:left w:val="nil"/>
              <w:bottom w:val="nil"/>
              <w:right w:val="nil"/>
            </w:tcBorders>
            <w:shd w:val="clear" w:color="auto" w:fill="auto"/>
            <w:vAlign w:val="center"/>
            <w:hideMark/>
          </w:tcPr>
          <w:p w14:paraId="24189AE2" w14:textId="77777777" w:rsidR="00C67E44" w:rsidRPr="00F5285D" w:rsidRDefault="00C67E44" w:rsidP="004725CE">
            <w:pPr>
              <w:rPr>
                <w:b/>
                <w:bCs/>
                <w:sz w:val="22"/>
                <w:szCs w:val="22"/>
              </w:rPr>
            </w:pPr>
            <w:r w:rsidRPr="00F5285D">
              <w:rPr>
                <w:b/>
                <w:bCs/>
                <w:sz w:val="22"/>
                <w:szCs w:val="22"/>
              </w:rPr>
              <w:t>16.-17.09.</w:t>
            </w:r>
          </w:p>
        </w:tc>
        <w:tc>
          <w:tcPr>
            <w:tcW w:w="7112" w:type="dxa"/>
            <w:tcBorders>
              <w:top w:val="nil"/>
              <w:left w:val="nil"/>
              <w:bottom w:val="nil"/>
              <w:right w:val="nil"/>
            </w:tcBorders>
            <w:shd w:val="clear" w:color="auto" w:fill="auto"/>
            <w:vAlign w:val="center"/>
            <w:hideMark/>
          </w:tcPr>
          <w:p w14:paraId="5EFAA571" w14:textId="77777777" w:rsidR="00C67E44" w:rsidRPr="00F5285D" w:rsidRDefault="00C67E44" w:rsidP="004725CE">
            <w:pPr>
              <w:rPr>
                <w:b/>
                <w:bCs/>
                <w:sz w:val="22"/>
                <w:szCs w:val="22"/>
              </w:rPr>
            </w:pPr>
            <w:r w:rsidRPr="00F5285D">
              <w:rPr>
                <w:b/>
                <w:bCs/>
                <w:sz w:val="22"/>
                <w:szCs w:val="22"/>
              </w:rPr>
              <w:t>Bundestagung des Gemeinsamen Forstausschusses „Deutscher Kommunalwald“, Lemgo</w:t>
            </w:r>
          </w:p>
        </w:tc>
      </w:tr>
      <w:tr w:rsidR="00C67E44" w:rsidRPr="00F5285D" w14:paraId="46468950" w14:textId="77777777" w:rsidTr="004725CE">
        <w:trPr>
          <w:trHeight w:val="300"/>
        </w:trPr>
        <w:tc>
          <w:tcPr>
            <w:tcW w:w="1960" w:type="dxa"/>
            <w:tcBorders>
              <w:top w:val="nil"/>
              <w:left w:val="nil"/>
              <w:bottom w:val="nil"/>
              <w:right w:val="nil"/>
            </w:tcBorders>
            <w:shd w:val="clear" w:color="auto" w:fill="auto"/>
            <w:noWrap/>
            <w:vAlign w:val="center"/>
            <w:hideMark/>
          </w:tcPr>
          <w:p w14:paraId="1F6916A9" w14:textId="77777777" w:rsidR="00C67E44" w:rsidRPr="00F5285D" w:rsidRDefault="00C67E44" w:rsidP="004725CE">
            <w:pPr>
              <w:rPr>
                <w:b/>
                <w:bCs/>
                <w:sz w:val="22"/>
                <w:szCs w:val="22"/>
              </w:rPr>
            </w:pPr>
          </w:p>
        </w:tc>
        <w:tc>
          <w:tcPr>
            <w:tcW w:w="7112" w:type="dxa"/>
            <w:tcBorders>
              <w:top w:val="nil"/>
              <w:left w:val="nil"/>
              <w:bottom w:val="nil"/>
              <w:right w:val="nil"/>
            </w:tcBorders>
            <w:shd w:val="clear" w:color="auto" w:fill="auto"/>
            <w:noWrap/>
            <w:vAlign w:val="center"/>
            <w:hideMark/>
          </w:tcPr>
          <w:p w14:paraId="1D970925" w14:textId="77777777" w:rsidR="00C67E44" w:rsidRPr="00F5285D" w:rsidRDefault="00C67E44" w:rsidP="004725CE">
            <w:pPr>
              <w:rPr>
                <w:rFonts w:ascii="Times New Roman" w:hAnsi="Times New Roman" w:cs="Times New Roman"/>
                <w:sz w:val="20"/>
                <w:szCs w:val="20"/>
              </w:rPr>
            </w:pPr>
          </w:p>
        </w:tc>
      </w:tr>
      <w:tr w:rsidR="00C67E44" w:rsidRPr="00F5285D" w14:paraId="78C4F5C9" w14:textId="77777777" w:rsidTr="004725CE">
        <w:trPr>
          <w:trHeight w:val="600"/>
        </w:trPr>
        <w:tc>
          <w:tcPr>
            <w:tcW w:w="1960" w:type="dxa"/>
            <w:tcBorders>
              <w:top w:val="nil"/>
              <w:left w:val="nil"/>
              <w:bottom w:val="nil"/>
              <w:right w:val="nil"/>
            </w:tcBorders>
            <w:shd w:val="clear" w:color="auto" w:fill="auto"/>
            <w:vAlign w:val="center"/>
            <w:hideMark/>
          </w:tcPr>
          <w:p w14:paraId="1B0E96BC" w14:textId="77777777" w:rsidR="00C67E44" w:rsidRPr="00F5285D" w:rsidRDefault="00C67E44" w:rsidP="004725CE">
            <w:pPr>
              <w:rPr>
                <w:b/>
                <w:bCs/>
                <w:sz w:val="22"/>
                <w:szCs w:val="22"/>
              </w:rPr>
            </w:pPr>
            <w:r w:rsidRPr="00F5285D">
              <w:rPr>
                <w:b/>
                <w:bCs/>
                <w:sz w:val="22"/>
                <w:szCs w:val="22"/>
              </w:rPr>
              <w:lastRenderedPageBreak/>
              <w:t>21.09.</w:t>
            </w:r>
          </w:p>
        </w:tc>
        <w:tc>
          <w:tcPr>
            <w:tcW w:w="7112" w:type="dxa"/>
            <w:tcBorders>
              <w:top w:val="nil"/>
              <w:left w:val="nil"/>
              <w:bottom w:val="nil"/>
              <w:right w:val="nil"/>
            </w:tcBorders>
            <w:shd w:val="clear" w:color="auto" w:fill="auto"/>
            <w:vAlign w:val="center"/>
            <w:hideMark/>
          </w:tcPr>
          <w:p w14:paraId="19B96784" w14:textId="77777777" w:rsidR="00C67E44" w:rsidRPr="00F5285D" w:rsidRDefault="00C67E44" w:rsidP="004725CE">
            <w:pPr>
              <w:rPr>
                <w:b/>
                <w:bCs/>
                <w:sz w:val="22"/>
                <w:szCs w:val="22"/>
              </w:rPr>
            </w:pPr>
            <w:r w:rsidRPr="00F5285D">
              <w:rPr>
                <w:b/>
                <w:bCs/>
                <w:sz w:val="22"/>
                <w:szCs w:val="22"/>
              </w:rPr>
              <w:t xml:space="preserve">DStGB-ExperConsult-Seminar für Wirtschaftsförderungen „Technologieorientierte Startup-Entwicklung“, Berlin &amp; Online (hybrid) </w:t>
            </w:r>
          </w:p>
        </w:tc>
      </w:tr>
      <w:tr w:rsidR="00C67E44" w:rsidRPr="00F5285D" w14:paraId="3ED4C530" w14:textId="77777777" w:rsidTr="004725CE">
        <w:trPr>
          <w:trHeight w:val="300"/>
        </w:trPr>
        <w:tc>
          <w:tcPr>
            <w:tcW w:w="1960" w:type="dxa"/>
            <w:tcBorders>
              <w:top w:val="nil"/>
              <w:left w:val="nil"/>
              <w:bottom w:val="nil"/>
              <w:right w:val="nil"/>
            </w:tcBorders>
            <w:shd w:val="clear" w:color="auto" w:fill="auto"/>
            <w:noWrap/>
            <w:vAlign w:val="center"/>
            <w:hideMark/>
          </w:tcPr>
          <w:p w14:paraId="3716211F" w14:textId="77777777" w:rsidR="00C67E44" w:rsidRPr="00F5285D" w:rsidRDefault="00C67E44" w:rsidP="004725CE">
            <w:pPr>
              <w:rPr>
                <w:b/>
                <w:bCs/>
                <w:sz w:val="22"/>
                <w:szCs w:val="22"/>
              </w:rPr>
            </w:pPr>
          </w:p>
        </w:tc>
        <w:tc>
          <w:tcPr>
            <w:tcW w:w="7112" w:type="dxa"/>
            <w:tcBorders>
              <w:top w:val="nil"/>
              <w:left w:val="nil"/>
              <w:bottom w:val="nil"/>
              <w:right w:val="nil"/>
            </w:tcBorders>
            <w:shd w:val="clear" w:color="auto" w:fill="auto"/>
            <w:noWrap/>
            <w:vAlign w:val="center"/>
            <w:hideMark/>
          </w:tcPr>
          <w:p w14:paraId="67017AE6" w14:textId="77777777" w:rsidR="00C67E44" w:rsidRPr="00F5285D" w:rsidRDefault="00C67E44" w:rsidP="004725CE">
            <w:pPr>
              <w:rPr>
                <w:rFonts w:ascii="Times New Roman" w:hAnsi="Times New Roman" w:cs="Times New Roman"/>
                <w:sz w:val="20"/>
                <w:szCs w:val="20"/>
              </w:rPr>
            </w:pPr>
          </w:p>
        </w:tc>
      </w:tr>
      <w:tr w:rsidR="00C67E44" w:rsidRPr="00F5285D" w14:paraId="67ABA005" w14:textId="77777777" w:rsidTr="004725CE">
        <w:trPr>
          <w:trHeight w:val="600"/>
        </w:trPr>
        <w:tc>
          <w:tcPr>
            <w:tcW w:w="1960" w:type="dxa"/>
            <w:tcBorders>
              <w:top w:val="nil"/>
              <w:left w:val="nil"/>
              <w:bottom w:val="nil"/>
              <w:right w:val="nil"/>
            </w:tcBorders>
            <w:shd w:val="clear" w:color="auto" w:fill="auto"/>
            <w:vAlign w:val="center"/>
            <w:hideMark/>
          </w:tcPr>
          <w:p w14:paraId="039D910B" w14:textId="77777777" w:rsidR="00C67E44" w:rsidRPr="00F5285D" w:rsidRDefault="00C67E44" w:rsidP="004725CE">
            <w:pPr>
              <w:rPr>
                <w:b/>
                <w:bCs/>
                <w:sz w:val="22"/>
                <w:szCs w:val="22"/>
              </w:rPr>
            </w:pPr>
            <w:r w:rsidRPr="00F5285D">
              <w:rPr>
                <w:b/>
                <w:bCs/>
                <w:sz w:val="22"/>
                <w:szCs w:val="22"/>
              </w:rPr>
              <w:t>21.09.</w:t>
            </w:r>
          </w:p>
        </w:tc>
        <w:tc>
          <w:tcPr>
            <w:tcW w:w="7112" w:type="dxa"/>
            <w:tcBorders>
              <w:top w:val="nil"/>
              <w:left w:val="nil"/>
              <w:bottom w:val="nil"/>
              <w:right w:val="nil"/>
            </w:tcBorders>
            <w:shd w:val="clear" w:color="auto" w:fill="auto"/>
            <w:vAlign w:val="center"/>
            <w:hideMark/>
          </w:tcPr>
          <w:p w14:paraId="4ED1F4DD" w14:textId="77777777" w:rsidR="00C67E44" w:rsidRPr="00F5285D" w:rsidRDefault="00C67E44" w:rsidP="004725CE">
            <w:pPr>
              <w:rPr>
                <w:b/>
                <w:bCs/>
                <w:sz w:val="22"/>
                <w:szCs w:val="22"/>
              </w:rPr>
            </w:pPr>
            <w:r w:rsidRPr="00F5285D">
              <w:rPr>
                <w:b/>
                <w:bCs/>
                <w:sz w:val="22"/>
                <w:szCs w:val="22"/>
              </w:rPr>
              <w:t xml:space="preserve">DStGB-KAS-Konferenz "Der Europäische Digitale Kompass – </w:t>
            </w:r>
            <w:r>
              <w:rPr>
                <w:b/>
                <w:bCs/>
                <w:sz w:val="22"/>
                <w:szCs w:val="22"/>
              </w:rPr>
              <w:br/>
            </w:r>
            <w:r w:rsidRPr="00F5285D">
              <w:rPr>
                <w:b/>
                <w:bCs/>
                <w:sz w:val="22"/>
                <w:szCs w:val="22"/>
              </w:rPr>
              <w:t>Eckstein des Green Deals", Online-Veranstaltung</w:t>
            </w:r>
          </w:p>
        </w:tc>
      </w:tr>
      <w:tr w:rsidR="00C67E44" w:rsidRPr="00F5285D" w14:paraId="486092C5" w14:textId="77777777" w:rsidTr="004725CE">
        <w:trPr>
          <w:trHeight w:val="300"/>
        </w:trPr>
        <w:tc>
          <w:tcPr>
            <w:tcW w:w="1960" w:type="dxa"/>
            <w:tcBorders>
              <w:top w:val="nil"/>
              <w:left w:val="nil"/>
              <w:bottom w:val="nil"/>
              <w:right w:val="nil"/>
            </w:tcBorders>
            <w:shd w:val="clear" w:color="auto" w:fill="auto"/>
            <w:vAlign w:val="center"/>
            <w:hideMark/>
          </w:tcPr>
          <w:p w14:paraId="3E26C293" w14:textId="77777777" w:rsidR="00C67E44" w:rsidRPr="00F5285D" w:rsidRDefault="00C67E44" w:rsidP="004725CE">
            <w:pPr>
              <w:rPr>
                <w:b/>
                <w:bCs/>
                <w:sz w:val="22"/>
                <w:szCs w:val="22"/>
              </w:rPr>
            </w:pPr>
          </w:p>
        </w:tc>
        <w:tc>
          <w:tcPr>
            <w:tcW w:w="7112" w:type="dxa"/>
            <w:tcBorders>
              <w:top w:val="nil"/>
              <w:left w:val="nil"/>
              <w:bottom w:val="nil"/>
              <w:right w:val="nil"/>
            </w:tcBorders>
            <w:shd w:val="clear" w:color="auto" w:fill="auto"/>
            <w:noWrap/>
            <w:vAlign w:val="center"/>
            <w:hideMark/>
          </w:tcPr>
          <w:p w14:paraId="70034450" w14:textId="77777777" w:rsidR="00C67E44" w:rsidRPr="00F5285D" w:rsidRDefault="00C67E44" w:rsidP="004725CE">
            <w:pPr>
              <w:rPr>
                <w:rFonts w:ascii="Times New Roman" w:hAnsi="Times New Roman" w:cs="Times New Roman"/>
                <w:sz w:val="20"/>
                <w:szCs w:val="20"/>
              </w:rPr>
            </w:pPr>
          </w:p>
        </w:tc>
      </w:tr>
      <w:tr w:rsidR="00C67E44" w:rsidRPr="00F5285D" w14:paraId="57464F67" w14:textId="77777777" w:rsidTr="004725CE">
        <w:trPr>
          <w:trHeight w:val="300"/>
        </w:trPr>
        <w:tc>
          <w:tcPr>
            <w:tcW w:w="1960" w:type="dxa"/>
            <w:tcBorders>
              <w:top w:val="nil"/>
              <w:left w:val="nil"/>
              <w:bottom w:val="nil"/>
              <w:right w:val="nil"/>
            </w:tcBorders>
            <w:shd w:val="clear" w:color="auto" w:fill="auto"/>
            <w:vAlign w:val="center"/>
            <w:hideMark/>
          </w:tcPr>
          <w:p w14:paraId="3BEB6403" w14:textId="77777777" w:rsidR="00C67E44" w:rsidRPr="00F5285D" w:rsidRDefault="00C67E44" w:rsidP="004725CE">
            <w:pPr>
              <w:rPr>
                <w:b/>
                <w:bCs/>
                <w:sz w:val="22"/>
                <w:szCs w:val="22"/>
              </w:rPr>
            </w:pPr>
            <w:r w:rsidRPr="00F5285D">
              <w:rPr>
                <w:b/>
                <w:bCs/>
                <w:sz w:val="22"/>
                <w:szCs w:val="22"/>
              </w:rPr>
              <w:t>28.09.</w:t>
            </w:r>
          </w:p>
        </w:tc>
        <w:tc>
          <w:tcPr>
            <w:tcW w:w="7112" w:type="dxa"/>
            <w:tcBorders>
              <w:top w:val="nil"/>
              <w:left w:val="nil"/>
              <w:bottom w:val="nil"/>
              <w:right w:val="nil"/>
            </w:tcBorders>
            <w:shd w:val="clear" w:color="auto" w:fill="auto"/>
            <w:vAlign w:val="center"/>
            <w:hideMark/>
          </w:tcPr>
          <w:p w14:paraId="506895C4" w14:textId="77777777" w:rsidR="00C67E44" w:rsidRPr="00F5285D" w:rsidRDefault="00C67E44" w:rsidP="004725CE">
            <w:pPr>
              <w:rPr>
                <w:b/>
                <w:bCs/>
                <w:sz w:val="22"/>
                <w:szCs w:val="22"/>
              </w:rPr>
            </w:pPr>
            <w:r w:rsidRPr="00F5285D">
              <w:rPr>
                <w:b/>
                <w:bCs/>
                <w:sz w:val="22"/>
                <w:szCs w:val="22"/>
              </w:rPr>
              <w:t>DStGB-Erfahrungsaustausch "Städtebau", Berlin</w:t>
            </w:r>
          </w:p>
        </w:tc>
      </w:tr>
      <w:tr w:rsidR="00C67E44" w:rsidRPr="00F5285D" w14:paraId="67A21905" w14:textId="77777777" w:rsidTr="004725CE">
        <w:trPr>
          <w:trHeight w:val="300"/>
        </w:trPr>
        <w:tc>
          <w:tcPr>
            <w:tcW w:w="1960" w:type="dxa"/>
            <w:tcBorders>
              <w:top w:val="nil"/>
              <w:left w:val="nil"/>
              <w:bottom w:val="nil"/>
              <w:right w:val="nil"/>
            </w:tcBorders>
            <w:shd w:val="clear" w:color="auto" w:fill="auto"/>
            <w:noWrap/>
            <w:vAlign w:val="center"/>
            <w:hideMark/>
          </w:tcPr>
          <w:p w14:paraId="3F60FC08" w14:textId="77777777" w:rsidR="00C67E44" w:rsidRPr="00F5285D" w:rsidRDefault="00C67E44" w:rsidP="004725CE">
            <w:pPr>
              <w:rPr>
                <w:b/>
                <w:bCs/>
                <w:sz w:val="22"/>
                <w:szCs w:val="22"/>
              </w:rPr>
            </w:pPr>
          </w:p>
        </w:tc>
        <w:tc>
          <w:tcPr>
            <w:tcW w:w="7112" w:type="dxa"/>
            <w:tcBorders>
              <w:top w:val="nil"/>
              <w:left w:val="nil"/>
              <w:bottom w:val="nil"/>
              <w:right w:val="nil"/>
            </w:tcBorders>
            <w:shd w:val="clear" w:color="auto" w:fill="auto"/>
            <w:noWrap/>
            <w:vAlign w:val="center"/>
            <w:hideMark/>
          </w:tcPr>
          <w:p w14:paraId="06B1A20A" w14:textId="77777777" w:rsidR="00C67E44" w:rsidRPr="00F5285D" w:rsidRDefault="00C67E44" w:rsidP="004725CE">
            <w:pPr>
              <w:rPr>
                <w:rFonts w:ascii="Times New Roman" w:hAnsi="Times New Roman" w:cs="Times New Roman"/>
                <w:sz w:val="20"/>
                <w:szCs w:val="20"/>
              </w:rPr>
            </w:pPr>
          </w:p>
        </w:tc>
      </w:tr>
      <w:tr w:rsidR="00C67E44" w:rsidRPr="00F5285D" w14:paraId="210F2D64" w14:textId="77777777" w:rsidTr="004725CE">
        <w:trPr>
          <w:trHeight w:val="300"/>
        </w:trPr>
        <w:tc>
          <w:tcPr>
            <w:tcW w:w="1960" w:type="dxa"/>
            <w:tcBorders>
              <w:top w:val="nil"/>
              <w:left w:val="nil"/>
              <w:bottom w:val="nil"/>
              <w:right w:val="nil"/>
            </w:tcBorders>
            <w:shd w:val="clear" w:color="auto" w:fill="auto"/>
            <w:vAlign w:val="center"/>
            <w:hideMark/>
          </w:tcPr>
          <w:p w14:paraId="50A6C848" w14:textId="77777777" w:rsidR="00C67E44" w:rsidRPr="00F5285D" w:rsidRDefault="00C67E44" w:rsidP="004725CE">
            <w:pPr>
              <w:rPr>
                <w:b/>
                <w:bCs/>
                <w:sz w:val="22"/>
                <w:szCs w:val="22"/>
              </w:rPr>
            </w:pPr>
            <w:r w:rsidRPr="00F5285D">
              <w:rPr>
                <w:b/>
                <w:bCs/>
                <w:sz w:val="22"/>
                <w:szCs w:val="22"/>
              </w:rPr>
              <w:t>29.09.</w:t>
            </w:r>
          </w:p>
        </w:tc>
        <w:tc>
          <w:tcPr>
            <w:tcW w:w="7112" w:type="dxa"/>
            <w:tcBorders>
              <w:top w:val="nil"/>
              <w:left w:val="nil"/>
              <w:bottom w:val="nil"/>
              <w:right w:val="nil"/>
            </w:tcBorders>
            <w:shd w:val="clear" w:color="auto" w:fill="auto"/>
            <w:vAlign w:val="center"/>
            <w:hideMark/>
          </w:tcPr>
          <w:p w14:paraId="295E487A" w14:textId="77777777" w:rsidR="00C67E44" w:rsidRPr="00F5285D" w:rsidRDefault="00C67E44" w:rsidP="004725CE">
            <w:pPr>
              <w:rPr>
                <w:b/>
                <w:bCs/>
                <w:sz w:val="22"/>
                <w:szCs w:val="22"/>
              </w:rPr>
            </w:pPr>
            <w:r w:rsidRPr="00F5285D">
              <w:rPr>
                <w:b/>
                <w:bCs/>
                <w:sz w:val="22"/>
                <w:szCs w:val="22"/>
              </w:rPr>
              <w:t>DStGB-Erfahrungsaustausch "Vergabe", Berlin</w:t>
            </w:r>
          </w:p>
        </w:tc>
      </w:tr>
      <w:tr w:rsidR="00C67E44" w:rsidRPr="00F5285D" w14:paraId="06BC688B" w14:textId="77777777" w:rsidTr="004725CE">
        <w:trPr>
          <w:trHeight w:val="300"/>
        </w:trPr>
        <w:tc>
          <w:tcPr>
            <w:tcW w:w="1960" w:type="dxa"/>
            <w:tcBorders>
              <w:top w:val="nil"/>
              <w:left w:val="nil"/>
              <w:bottom w:val="nil"/>
              <w:right w:val="nil"/>
            </w:tcBorders>
            <w:shd w:val="clear" w:color="auto" w:fill="auto"/>
            <w:noWrap/>
            <w:vAlign w:val="center"/>
            <w:hideMark/>
          </w:tcPr>
          <w:p w14:paraId="5E4D0A3A" w14:textId="77777777" w:rsidR="00C67E44" w:rsidRPr="00F5285D" w:rsidRDefault="00C67E44" w:rsidP="004725CE">
            <w:pPr>
              <w:rPr>
                <w:b/>
                <w:bCs/>
                <w:sz w:val="22"/>
                <w:szCs w:val="22"/>
              </w:rPr>
            </w:pPr>
          </w:p>
        </w:tc>
        <w:tc>
          <w:tcPr>
            <w:tcW w:w="7112" w:type="dxa"/>
            <w:tcBorders>
              <w:top w:val="nil"/>
              <w:left w:val="nil"/>
              <w:bottom w:val="nil"/>
              <w:right w:val="nil"/>
            </w:tcBorders>
            <w:shd w:val="clear" w:color="auto" w:fill="auto"/>
            <w:noWrap/>
            <w:vAlign w:val="center"/>
            <w:hideMark/>
          </w:tcPr>
          <w:p w14:paraId="4C8E360D" w14:textId="77777777" w:rsidR="00C67E44" w:rsidRPr="00F5285D" w:rsidRDefault="00C67E44" w:rsidP="004725CE">
            <w:pPr>
              <w:rPr>
                <w:rFonts w:ascii="Times New Roman" w:hAnsi="Times New Roman" w:cs="Times New Roman"/>
                <w:sz w:val="20"/>
                <w:szCs w:val="20"/>
              </w:rPr>
            </w:pPr>
          </w:p>
        </w:tc>
      </w:tr>
      <w:tr w:rsidR="00C67E44" w:rsidRPr="00F5285D" w14:paraId="66BF5AF0" w14:textId="77777777" w:rsidTr="004725CE">
        <w:trPr>
          <w:trHeight w:val="300"/>
        </w:trPr>
        <w:tc>
          <w:tcPr>
            <w:tcW w:w="1960" w:type="dxa"/>
            <w:tcBorders>
              <w:top w:val="nil"/>
              <w:left w:val="nil"/>
              <w:bottom w:val="nil"/>
              <w:right w:val="nil"/>
            </w:tcBorders>
            <w:shd w:val="clear" w:color="auto" w:fill="auto"/>
            <w:vAlign w:val="center"/>
            <w:hideMark/>
          </w:tcPr>
          <w:p w14:paraId="05034B7B" w14:textId="77777777" w:rsidR="00C67E44" w:rsidRPr="00F5285D" w:rsidRDefault="00C67E44" w:rsidP="004725CE">
            <w:pPr>
              <w:rPr>
                <w:sz w:val="22"/>
                <w:szCs w:val="22"/>
              </w:rPr>
            </w:pPr>
            <w:r w:rsidRPr="00F5285D">
              <w:rPr>
                <w:sz w:val="22"/>
                <w:szCs w:val="22"/>
              </w:rPr>
              <w:t>29.09.</w:t>
            </w:r>
          </w:p>
        </w:tc>
        <w:tc>
          <w:tcPr>
            <w:tcW w:w="7112" w:type="dxa"/>
            <w:tcBorders>
              <w:top w:val="nil"/>
              <w:left w:val="nil"/>
              <w:bottom w:val="nil"/>
              <w:right w:val="nil"/>
            </w:tcBorders>
            <w:shd w:val="clear" w:color="auto" w:fill="auto"/>
            <w:vAlign w:val="center"/>
            <w:hideMark/>
          </w:tcPr>
          <w:p w14:paraId="6A735CE3" w14:textId="77777777" w:rsidR="00C67E44" w:rsidRPr="00F5285D" w:rsidRDefault="00C67E44" w:rsidP="004725CE">
            <w:pPr>
              <w:rPr>
                <w:sz w:val="22"/>
                <w:szCs w:val="22"/>
              </w:rPr>
            </w:pPr>
            <w:r w:rsidRPr="00F5285D">
              <w:rPr>
                <w:sz w:val="22"/>
                <w:szCs w:val="22"/>
              </w:rPr>
              <w:t>Ausschuss für Bildung und Soziales des Städteverbandes Schleswig-Holstein</w:t>
            </w:r>
          </w:p>
        </w:tc>
      </w:tr>
      <w:tr w:rsidR="00C67E44" w:rsidRPr="00F5285D" w14:paraId="0C6E2C24" w14:textId="77777777" w:rsidTr="004725CE">
        <w:trPr>
          <w:trHeight w:val="300"/>
        </w:trPr>
        <w:tc>
          <w:tcPr>
            <w:tcW w:w="1960" w:type="dxa"/>
            <w:tcBorders>
              <w:top w:val="nil"/>
              <w:left w:val="nil"/>
              <w:bottom w:val="nil"/>
              <w:right w:val="nil"/>
            </w:tcBorders>
            <w:shd w:val="clear" w:color="auto" w:fill="auto"/>
            <w:vAlign w:val="center"/>
            <w:hideMark/>
          </w:tcPr>
          <w:p w14:paraId="5610874C" w14:textId="77777777" w:rsidR="00C67E44" w:rsidRPr="00F5285D" w:rsidRDefault="00C67E44" w:rsidP="004725CE">
            <w:pPr>
              <w:rPr>
                <w:sz w:val="22"/>
                <w:szCs w:val="22"/>
              </w:rPr>
            </w:pPr>
          </w:p>
        </w:tc>
        <w:tc>
          <w:tcPr>
            <w:tcW w:w="7112" w:type="dxa"/>
            <w:tcBorders>
              <w:top w:val="nil"/>
              <w:left w:val="nil"/>
              <w:bottom w:val="nil"/>
              <w:right w:val="nil"/>
            </w:tcBorders>
            <w:shd w:val="clear" w:color="auto" w:fill="auto"/>
            <w:vAlign w:val="center"/>
            <w:hideMark/>
          </w:tcPr>
          <w:p w14:paraId="53234DD8" w14:textId="77777777" w:rsidR="00C67E44" w:rsidRPr="00F5285D" w:rsidRDefault="00C67E44" w:rsidP="004725CE">
            <w:pPr>
              <w:rPr>
                <w:rFonts w:ascii="Times New Roman" w:hAnsi="Times New Roman" w:cs="Times New Roman"/>
                <w:sz w:val="20"/>
                <w:szCs w:val="20"/>
              </w:rPr>
            </w:pPr>
          </w:p>
        </w:tc>
      </w:tr>
      <w:tr w:rsidR="00C67E44" w:rsidRPr="00F5285D" w14:paraId="1F654C28" w14:textId="77777777" w:rsidTr="004725CE">
        <w:trPr>
          <w:trHeight w:val="300"/>
        </w:trPr>
        <w:tc>
          <w:tcPr>
            <w:tcW w:w="1960" w:type="dxa"/>
            <w:tcBorders>
              <w:top w:val="nil"/>
              <w:left w:val="nil"/>
              <w:bottom w:val="nil"/>
              <w:right w:val="nil"/>
            </w:tcBorders>
            <w:shd w:val="clear" w:color="auto" w:fill="auto"/>
            <w:vAlign w:val="center"/>
            <w:hideMark/>
          </w:tcPr>
          <w:p w14:paraId="79A01E4B" w14:textId="77777777" w:rsidR="00C67E44" w:rsidRPr="00F5285D" w:rsidRDefault="00C67E44" w:rsidP="004725CE">
            <w:pPr>
              <w:rPr>
                <w:sz w:val="22"/>
                <w:szCs w:val="22"/>
              </w:rPr>
            </w:pPr>
            <w:r w:rsidRPr="00F5285D">
              <w:rPr>
                <w:sz w:val="22"/>
                <w:szCs w:val="22"/>
              </w:rPr>
              <w:t>29.-30.09.</w:t>
            </w:r>
          </w:p>
        </w:tc>
        <w:tc>
          <w:tcPr>
            <w:tcW w:w="7112" w:type="dxa"/>
            <w:tcBorders>
              <w:top w:val="nil"/>
              <w:left w:val="nil"/>
              <w:bottom w:val="nil"/>
              <w:right w:val="nil"/>
            </w:tcBorders>
            <w:shd w:val="clear" w:color="auto" w:fill="auto"/>
            <w:vAlign w:val="center"/>
            <w:hideMark/>
          </w:tcPr>
          <w:p w14:paraId="0EB70C73" w14:textId="77777777" w:rsidR="00C67E44" w:rsidRPr="00F5285D" w:rsidRDefault="00C67E44" w:rsidP="004725CE">
            <w:pPr>
              <w:rPr>
                <w:sz w:val="22"/>
                <w:szCs w:val="22"/>
              </w:rPr>
            </w:pPr>
            <w:r w:rsidRPr="00F5285D">
              <w:rPr>
                <w:sz w:val="22"/>
                <w:szCs w:val="22"/>
              </w:rPr>
              <w:t xml:space="preserve">Landesvorstand des Gemeindetags Baden-Württemberg </w:t>
            </w:r>
          </w:p>
        </w:tc>
      </w:tr>
      <w:tr w:rsidR="00C67E44" w:rsidRPr="00F5285D" w14:paraId="50193E4D" w14:textId="77777777" w:rsidTr="004725CE">
        <w:trPr>
          <w:trHeight w:val="300"/>
        </w:trPr>
        <w:tc>
          <w:tcPr>
            <w:tcW w:w="1960" w:type="dxa"/>
            <w:tcBorders>
              <w:top w:val="nil"/>
              <w:left w:val="nil"/>
              <w:bottom w:val="nil"/>
              <w:right w:val="nil"/>
            </w:tcBorders>
            <w:shd w:val="clear" w:color="auto" w:fill="auto"/>
            <w:noWrap/>
            <w:vAlign w:val="center"/>
            <w:hideMark/>
          </w:tcPr>
          <w:p w14:paraId="0C274CBD" w14:textId="77777777" w:rsidR="00C67E44" w:rsidRPr="00F5285D" w:rsidRDefault="00C67E44" w:rsidP="004725CE">
            <w:pPr>
              <w:rPr>
                <w:sz w:val="22"/>
                <w:szCs w:val="22"/>
              </w:rPr>
            </w:pPr>
          </w:p>
        </w:tc>
        <w:tc>
          <w:tcPr>
            <w:tcW w:w="7112" w:type="dxa"/>
            <w:tcBorders>
              <w:top w:val="nil"/>
              <w:left w:val="nil"/>
              <w:bottom w:val="nil"/>
              <w:right w:val="nil"/>
            </w:tcBorders>
            <w:shd w:val="clear" w:color="auto" w:fill="auto"/>
            <w:noWrap/>
            <w:vAlign w:val="center"/>
            <w:hideMark/>
          </w:tcPr>
          <w:p w14:paraId="5AB79698" w14:textId="77777777" w:rsidR="00C67E44" w:rsidRPr="00F5285D" w:rsidRDefault="00C67E44" w:rsidP="004725CE">
            <w:pPr>
              <w:rPr>
                <w:rFonts w:ascii="Times New Roman" w:hAnsi="Times New Roman" w:cs="Times New Roman"/>
                <w:sz w:val="20"/>
                <w:szCs w:val="20"/>
              </w:rPr>
            </w:pPr>
          </w:p>
        </w:tc>
      </w:tr>
      <w:tr w:rsidR="00C67E44" w:rsidRPr="00F5285D" w14:paraId="339A3399" w14:textId="77777777" w:rsidTr="004725CE">
        <w:trPr>
          <w:trHeight w:val="300"/>
        </w:trPr>
        <w:tc>
          <w:tcPr>
            <w:tcW w:w="1960" w:type="dxa"/>
            <w:tcBorders>
              <w:top w:val="nil"/>
              <w:left w:val="nil"/>
              <w:bottom w:val="nil"/>
              <w:right w:val="nil"/>
            </w:tcBorders>
            <w:shd w:val="clear" w:color="auto" w:fill="auto"/>
            <w:vAlign w:val="center"/>
            <w:hideMark/>
          </w:tcPr>
          <w:p w14:paraId="7377FE30" w14:textId="77777777" w:rsidR="00C67E44" w:rsidRPr="00F5285D" w:rsidRDefault="00C67E44" w:rsidP="004725CE">
            <w:pPr>
              <w:rPr>
                <w:sz w:val="22"/>
                <w:szCs w:val="22"/>
              </w:rPr>
            </w:pPr>
            <w:r w:rsidRPr="00F5285D">
              <w:rPr>
                <w:sz w:val="22"/>
                <w:szCs w:val="22"/>
              </w:rPr>
              <w:t>30.09.</w:t>
            </w:r>
          </w:p>
        </w:tc>
        <w:tc>
          <w:tcPr>
            <w:tcW w:w="7112" w:type="dxa"/>
            <w:tcBorders>
              <w:top w:val="nil"/>
              <w:left w:val="nil"/>
              <w:bottom w:val="nil"/>
              <w:right w:val="nil"/>
            </w:tcBorders>
            <w:shd w:val="clear" w:color="auto" w:fill="auto"/>
            <w:vAlign w:val="center"/>
            <w:hideMark/>
          </w:tcPr>
          <w:p w14:paraId="5D5F7F0E" w14:textId="77777777" w:rsidR="00C67E44" w:rsidRPr="00F5285D" w:rsidRDefault="00C67E44" w:rsidP="004725CE">
            <w:pPr>
              <w:rPr>
                <w:sz w:val="22"/>
                <w:szCs w:val="22"/>
              </w:rPr>
            </w:pPr>
            <w:r w:rsidRPr="00F5285D">
              <w:rPr>
                <w:sz w:val="22"/>
                <w:szCs w:val="22"/>
              </w:rPr>
              <w:t>Mitgliederversammlung – Hessischer Städtetag, Kassel</w:t>
            </w:r>
          </w:p>
        </w:tc>
      </w:tr>
      <w:tr w:rsidR="00C67E44" w:rsidRPr="00F5285D" w14:paraId="01B3E187" w14:textId="77777777" w:rsidTr="004725CE">
        <w:trPr>
          <w:trHeight w:val="300"/>
        </w:trPr>
        <w:tc>
          <w:tcPr>
            <w:tcW w:w="1960" w:type="dxa"/>
            <w:tcBorders>
              <w:top w:val="nil"/>
              <w:left w:val="nil"/>
              <w:bottom w:val="nil"/>
              <w:right w:val="nil"/>
            </w:tcBorders>
            <w:shd w:val="clear" w:color="auto" w:fill="auto"/>
            <w:vAlign w:val="center"/>
            <w:hideMark/>
          </w:tcPr>
          <w:p w14:paraId="3DBA438F" w14:textId="77777777" w:rsidR="00C67E44" w:rsidRPr="00F5285D" w:rsidRDefault="00C67E44" w:rsidP="004725CE">
            <w:pPr>
              <w:rPr>
                <w:sz w:val="22"/>
                <w:szCs w:val="22"/>
              </w:rPr>
            </w:pPr>
          </w:p>
        </w:tc>
        <w:tc>
          <w:tcPr>
            <w:tcW w:w="7112" w:type="dxa"/>
            <w:tcBorders>
              <w:top w:val="nil"/>
              <w:left w:val="nil"/>
              <w:bottom w:val="nil"/>
              <w:right w:val="nil"/>
            </w:tcBorders>
            <w:shd w:val="clear" w:color="auto" w:fill="auto"/>
            <w:vAlign w:val="center"/>
            <w:hideMark/>
          </w:tcPr>
          <w:p w14:paraId="2DBE89A9" w14:textId="77777777" w:rsidR="00C67E44" w:rsidRPr="00F5285D" w:rsidRDefault="00C67E44" w:rsidP="004725CE">
            <w:pPr>
              <w:rPr>
                <w:rFonts w:ascii="Times New Roman" w:hAnsi="Times New Roman" w:cs="Times New Roman"/>
                <w:sz w:val="20"/>
                <w:szCs w:val="20"/>
              </w:rPr>
            </w:pPr>
          </w:p>
        </w:tc>
      </w:tr>
      <w:tr w:rsidR="00C67E44" w:rsidRPr="00F5285D" w14:paraId="0BEA10A3" w14:textId="77777777" w:rsidTr="004725CE">
        <w:trPr>
          <w:trHeight w:val="360"/>
        </w:trPr>
        <w:tc>
          <w:tcPr>
            <w:tcW w:w="1960" w:type="dxa"/>
            <w:tcBorders>
              <w:top w:val="nil"/>
              <w:left w:val="nil"/>
              <w:bottom w:val="nil"/>
              <w:right w:val="nil"/>
            </w:tcBorders>
            <w:shd w:val="clear" w:color="auto" w:fill="auto"/>
            <w:vAlign w:val="center"/>
            <w:hideMark/>
          </w:tcPr>
          <w:p w14:paraId="6CDFB64E" w14:textId="77777777" w:rsidR="00C67E44" w:rsidRPr="00F5285D" w:rsidRDefault="00C67E44" w:rsidP="004725CE">
            <w:pPr>
              <w:rPr>
                <w:b/>
                <w:bCs/>
                <w:sz w:val="28"/>
                <w:szCs w:val="28"/>
              </w:rPr>
            </w:pPr>
            <w:r w:rsidRPr="00F5285D">
              <w:rPr>
                <w:b/>
                <w:bCs/>
                <w:sz w:val="28"/>
                <w:szCs w:val="28"/>
              </w:rPr>
              <w:t>Oktober</w:t>
            </w:r>
          </w:p>
        </w:tc>
        <w:tc>
          <w:tcPr>
            <w:tcW w:w="7112" w:type="dxa"/>
            <w:tcBorders>
              <w:top w:val="nil"/>
              <w:left w:val="nil"/>
              <w:bottom w:val="nil"/>
              <w:right w:val="nil"/>
            </w:tcBorders>
            <w:shd w:val="clear" w:color="auto" w:fill="auto"/>
            <w:noWrap/>
            <w:vAlign w:val="center"/>
            <w:hideMark/>
          </w:tcPr>
          <w:p w14:paraId="5D61CC5E" w14:textId="77777777" w:rsidR="00C67E44" w:rsidRPr="00F5285D" w:rsidRDefault="00C67E44" w:rsidP="004725CE">
            <w:pPr>
              <w:rPr>
                <w:b/>
                <w:bCs/>
                <w:sz w:val="28"/>
                <w:szCs w:val="28"/>
              </w:rPr>
            </w:pPr>
          </w:p>
        </w:tc>
      </w:tr>
      <w:tr w:rsidR="00C67E44" w:rsidRPr="00F5285D" w14:paraId="751F8C1C" w14:textId="77777777" w:rsidTr="004725CE">
        <w:trPr>
          <w:trHeight w:val="300"/>
        </w:trPr>
        <w:tc>
          <w:tcPr>
            <w:tcW w:w="1960" w:type="dxa"/>
            <w:tcBorders>
              <w:top w:val="nil"/>
              <w:left w:val="nil"/>
              <w:bottom w:val="nil"/>
              <w:right w:val="nil"/>
            </w:tcBorders>
            <w:shd w:val="clear" w:color="auto" w:fill="auto"/>
            <w:vAlign w:val="center"/>
            <w:hideMark/>
          </w:tcPr>
          <w:p w14:paraId="2D8CF291" w14:textId="77777777" w:rsidR="00C67E44" w:rsidRPr="00F5285D" w:rsidRDefault="00C67E44" w:rsidP="004725CE">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134264BE" w14:textId="77777777" w:rsidR="00C67E44" w:rsidRPr="00F5285D" w:rsidRDefault="00C67E44" w:rsidP="004725CE">
            <w:pPr>
              <w:rPr>
                <w:rFonts w:ascii="Times New Roman" w:hAnsi="Times New Roman" w:cs="Times New Roman"/>
                <w:sz w:val="20"/>
                <w:szCs w:val="20"/>
              </w:rPr>
            </w:pPr>
          </w:p>
        </w:tc>
      </w:tr>
      <w:tr w:rsidR="00C67E44" w:rsidRPr="00F5285D" w14:paraId="24E62D67" w14:textId="77777777" w:rsidTr="004725CE">
        <w:trPr>
          <w:trHeight w:val="300"/>
        </w:trPr>
        <w:tc>
          <w:tcPr>
            <w:tcW w:w="1960" w:type="dxa"/>
            <w:tcBorders>
              <w:top w:val="nil"/>
              <w:left w:val="nil"/>
              <w:bottom w:val="nil"/>
              <w:right w:val="nil"/>
            </w:tcBorders>
            <w:shd w:val="clear" w:color="auto" w:fill="auto"/>
            <w:vAlign w:val="center"/>
            <w:hideMark/>
          </w:tcPr>
          <w:p w14:paraId="564F0C20" w14:textId="77777777" w:rsidR="00C67E44" w:rsidRPr="00F5285D" w:rsidRDefault="00C67E44" w:rsidP="004725CE">
            <w:pPr>
              <w:rPr>
                <w:b/>
                <w:bCs/>
                <w:sz w:val="22"/>
                <w:szCs w:val="22"/>
              </w:rPr>
            </w:pPr>
            <w:r w:rsidRPr="00F5285D">
              <w:rPr>
                <w:b/>
                <w:bCs/>
                <w:sz w:val="22"/>
                <w:szCs w:val="22"/>
              </w:rPr>
              <w:t>04.-05.10.</w:t>
            </w:r>
          </w:p>
        </w:tc>
        <w:tc>
          <w:tcPr>
            <w:tcW w:w="7112" w:type="dxa"/>
            <w:tcBorders>
              <w:top w:val="nil"/>
              <w:left w:val="nil"/>
              <w:bottom w:val="nil"/>
              <w:right w:val="nil"/>
            </w:tcBorders>
            <w:shd w:val="clear" w:color="auto" w:fill="auto"/>
            <w:vAlign w:val="center"/>
            <w:hideMark/>
          </w:tcPr>
          <w:p w14:paraId="31910E81" w14:textId="77777777" w:rsidR="00C67E44" w:rsidRPr="00F5285D" w:rsidRDefault="00C67E44" w:rsidP="004725CE">
            <w:pPr>
              <w:rPr>
                <w:b/>
                <w:bCs/>
                <w:sz w:val="22"/>
                <w:szCs w:val="22"/>
              </w:rPr>
            </w:pPr>
            <w:r w:rsidRPr="00F5285D">
              <w:rPr>
                <w:b/>
                <w:bCs/>
                <w:sz w:val="22"/>
                <w:szCs w:val="22"/>
              </w:rPr>
              <w:t>DStGB-Ausschuss für Wirtschaft, Tourismus und Verkehr, Neustrelitz</w:t>
            </w:r>
          </w:p>
        </w:tc>
      </w:tr>
      <w:tr w:rsidR="00C67E44" w:rsidRPr="00F5285D" w14:paraId="02FFC40F" w14:textId="77777777" w:rsidTr="004725CE">
        <w:trPr>
          <w:trHeight w:val="300"/>
        </w:trPr>
        <w:tc>
          <w:tcPr>
            <w:tcW w:w="1960" w:type="dxa"/>
            <w:tcBorders>
              <w:top w:val="nil"/>
              <w:left w:val="nil"/>
              <w:bottom w:val="nil"/>
              <w:right w:val="nil"/>
            </w:tcBorders>
            <w:shd w:val="clear" w:color="auto" w:fill="auto"/>
            <w:noWrap/>
            <w:vAlign w:val="center"/>
            <w:hideMark/>
          </w:tcPr>
          <w:p w14:paraId="2D688749" w14:textId="77777777" w:rsidR="00C67E44" w:rsidRPr="00F5285D" w:rsidRDefault="00C67E44" w:rsidP="004725CE">
            <w:pPr>
              <w:rPr>
                <w:b/>
                <w:bCs/>
                <w:sz w:val="22"/>
                <w:szCs w:val="22"/>
              </w:rPr>
            </w:pPr>
          </w:p>
        </w:tc>
        <w:tc>
          <w:tcPr>
            <w:tcW w:w="7112" w:type="dxa"/>
            <w:tcBorders>
              <w:top w:val="nil"/>
              <w:left w:val="nil"/>
              <w:bottom w:val="nil"/>
              <w:right w:val="nil"/>
            </w:tcBorders>
            <w:shd w:val="clear" w:color="auto" w:fill="auto"/>
            <w:noWrap/>
            <w:vAlign w:val="center"/>
            <w:hideMark/>
          </w:tcPr>
          <w:p w14:paraId="1E1ABE35" w14:textId="77777777" w:rsidR="00C67E44" w:rsidRPr="00F5285D" w:rsidRDefault="00C67E44" w:rsidP="004725CE">
            <w:pPr>
              <w:rPr>
                <w:rFonts w:ascii="Times New Roman" w:hAnsi="Times New Roman" w:cs="Times New Roman"/>
                <w:sz w:val="20"/>
                <w:szCs w:val="20"/>
              </w:rPr>
            </w:pPr>
          </w:p>
        </w:tc>
      </w:tr>
      <w:tr w:rsidR="00C67E44" w:rsidRPr="00F5285D" w14:paraId="7970A4CA" w14:textId="77777777" w:rsidTr="004725CE">
        <w:trPr>
          <w:trHeight w:val="300"/>
        </w:trPr>
        <w:tc>
          <w:tcPr>
            <w:tcW w:w="1960" w:type="dxa"/>
            <w:tcBorders>
              <w:top w:val="nil"/>
              <w:left w:val="nil"/>
              <w:bottom w:val="nil"/>
              <w:right w:val="nil"/>
            </w:tcBorders>
            <w:shd w:val="clear" w:color="auto" w:fill="auto"/>
            <w:vAlign w:val="center"/>
            <w:hideMark/>
          </w:tcPr>
          <w:p w14:paraId="29112DE5" w14:textId="77777777" w:rsidR="00C67E44" w:rsidRPr="00F5285D" w:rsidRDefault="00C67E44" w:rsidP="004725CE">
            <w:pPr>
              <w:rPr>
                <w:sz w:val="22"/>
                <w:szCs w:val="22"/>
              </w:rPr>
            </w:pPr>
            <w:r w:rsidRPr="00F5285D">
              <w:rPr>
                <w:sz w:val="22"/>
                <w:szCs w:val="22"/>
              </w:rPr>
              <w:t>06.10.</w:t>
            </w:r>
          </w:p>
        </w:tc>
        <w:tc>
          <w:tcPr>
            <w:tcW w:w="7112" w:type="dxa"/>
            <w:tcBorders>
              <w:top w:val="nil"/>
              <w:left w:val="nil"/>
              <w:bottom w:val="nil"/>
              <w:right w:val="nil"/>
            </w:tcBorders>
            <w:shd w:val="clear" w:color="auto" w:fill="auto"/>
            <w:vAlign w:val="center"/>
            <w:hideMark/>
          </w:tcPr>
          <w:p w14:paraId="131A77BF" w14:textId="77777777" w:rsidR="00C67E44" w:rsidRPr="00F5285D" w:rsidRDefault="00C67E44" w:rsidP="004725CE">
            <w:pPr>
              <w:rPr>
                <w:sz w:val="22"/>
                <w:szCs w:val="22"/>
              </w:rPr>
            </w:pPr>
            <w:r w:rsidRPr="00F5285D">
              <w:rPr>
                <w:sz w:val="22"/>
                <w:szCs w:val="22"/>
              </w:rPr>
              <w:t>Mitgliederversammlung des Niedersächsischen Städte- und Gemeindebundes, Bodenwerder</w:t>
            </w:r>
          </w:p>
        </w:tc>
      </w:tr>
      <w:tr w:rsidR="00C67E44" w:rsidRPr="00F5285D" w14:paraId="5E938709" w14:textId="77777777" w:rsidTr="004725CE">
        <w:trPr>
          <w:trHeight w:val="300"/>
        </w:trPr>
        <w:tc>
          <w:tcPr>
            <w:tcW w:w="1960" w:type="dxa"/>
            <w:tcBorders>
              <w:top w:val="nil"/>
              <w:left w:val="nil"/>
              <w:bottom w:val="nil"/>
              <w:right w:val="nil"/>
            </w:tcBorders>
            <w:shd w:val="clear" w:color="auto" w:fill="auto"/>
            <w:noWrap/>
            <w:vAlign w:val="center"/>
            <w:hideMark/>
          </w:tcPr>
          <w:p w14:paraId="716EC161" w14:textId="77777777" w:rsidR="00C67E44" w:rsidRPr="00F5285D" w:rsidRDefault="00C67E44" w:rsidP="004725CE">
            <w:pPr>
              <w:rPr>
                <w:sz w:val="22"/>
                <w:szCs w:val="22"/>
              </w:rPr>
            </w:pPr>
          </w:p>
        </w:tc>
        <w:tc>
          <w:tcPr>
            <w:tcW w:w="7112" w:type="dxa"/>
            <w:tcBorders>
              <w:top w:val="nil"/>
              <w:left w:val="nil"/>
              <w:bottom w:val="nil"/>
              <w:right w:val="nil"/>
            </w:tcBorders>
            <w:shd w:val="clear" w:color="auto" w:fill="auto"/>
            <w:noWrap/>
            <w:vAlign w:val="center"/>
            <w:hideMark/>
          </w:tcPr>
          <w:p w14:paraId="40FDAAF0" w14:textId="77777777" w:rsidR="00C67E44" w:rsidRPr="00F5285D" w:rsidRDefault="00C67E44" w:rsidP="004725CE">
            <w:pPr>
              <w:rPr>
                <w:rFonts w:ascii="Times New Roman" w:hAnsi="Times New Roman" w:cs="Times New Roman"/>
                <w:sz w:val="20"/>
                <w:szCs w:val="20"/>
              </w:rPr>
            </w:pPr>
          </w:p>
        </w:tc>
      </w:tr>
      <w:tr w:rsidR="00C67E44" w:rsidRPr="00F5285D" w14:paraId="6CFF724B" w14:textId="77777777" w:rsidTr="004725CE">
        <w:trPr>
          <w:trHeight w:val="300"/>
        </w:trPr>
        <w:tc>
          <w:tcPr>
            <w:tcW w:w="1960" w:type="dxa"/>
            <w:tcBorders>
              <w:top w:val="nil"/>
              <w:left w:val="nil"/>
              <w:bottom w:val="nil"/>
              <w:right w:val="nil"/>
            </w:tcBorders>
            <w:shd w:val="clear" w:color="auto" w:fill="auto"/>
            <w:vAlign w:val="center"/>
            <w:hideMark/>
          </w:tcPr>
          <w:p w14:paraId="5CB059E8" w14:textId="77777777" w:rsidR="00C67E44" w:rsidRPr="00F5285D" w:rsidRDefault="00C67E44" w:rsidP="004725CE">
            <w:pPr>
              <w:rPr>
                <w:b/>
                <w:bCs/>
                <w:sz w:val="22"/>
                <w:szCs w:val="22"/>
              </w:rPr>
            </w:pPr>
            <w:r w:rsidRPr="00F5285D">
              <w:rPr>
                <w:b/>
                <w:bCs/>
                <w:sz w:val="22"/>
                <w:szCs w:val="22"/>
              </w:rPr>
              <w:t>25.-26.10.</w:t>
            </w:r>
          </w:p>
        </w:tc>
        <w:tc>
          <w:tcPr>
            <w:tcW w:w="7112" w:type="dxa"/>
            <w:tcBorders>
              <w:top w:val="nil"/>
              <w:left w:val="nil"/>
              <w:bottom w:val="nil"/>
              <w:right w:val="nil"/>
            </w:tcBorders>
            <w:shd w:val="clear" w:color="auto" w:fill="auto"/>
            <w:vAlign w:val="center"/>
            <w:hideMark/>
          </w:tcPr>
          <w:p w14:paraId="7475F9DC" w14:textId="77777777" w:rsidR="00C67E44" w:rsidRPr="00F5285D" w:rsidRDefault="00C67E44" w:rsidP="004725CE">
            <w:pPr>
              <w:rPr>
                <w:b/>
                <w:bCs/>
                <w:sz w:val="22"/>
                <w:szCs w:val="22"/>
              </w:rPr>
            </w:pPr>
            <w:r w:rsidRPr="00F5285D">
              <w:rPr>
                <w:b/>
                <w:bCs/>
                <w:sz w:val="22"/>
                <w:szCs w:val="22"/>
              </w:rPr>
              <w:t>DStGB-Ausschuss für Finanzen und Kommunalwirtschaft, Sitzungsort offen</w:t>
            </w:r>
          </w:p>
        </w:tc>
      </w:tr>
      <w:tr w:rsidR="00C67E44" w:rsidRPr="00F5285D" w14:paraId="595FDB16" w14:textId="77777777" w:rsidTr="004725CE">
        <w:trPr>
          <w:trHeight w:val="300"/>
        </w:trPr>
        <w:tc>
          <w:tcPr>
            <w:tcW w:w="1960" w:type="dxa"/>
            <w:tcBorders>
              <w:top w:val="nil"/>
              <w:left w:val="nil"/>
              <w:bottom w:val="nil"/>
              <w:right w:val="nil"/>
            </w:tcBorders>
            <w:shd w:val="clear" w:color="auto" w:fill="auto"/>
            <w:noWrap/>
            <w:vAlign w:val="center"/>
            <w:hideMark/>
          </w:tcPr>
          <w:p w14:paraId="1ED08D60" w14:textId="77777777" w:rsidR="00C67E44" w:rsidRPr="00F5285D" w:rsidRDefault="00C67E44" w:rsidP="004725CE">
            <w:pPr>
              <w:rPr>
                <w:b/>
                <w:bCs/>
                <w:sz w:val="22"/>
                <w:szCs w:val="22"/>
              </w:rPr>
            </w:pPr>
          </w:p>
        </w:tc>
        <w:tc>
          <w:tcPr>
            <w:tcW w:w="7112" w:type="dxa"/>
            <w:tcBorders>
              <w:top w:val="nil"/>
              <w:left w:val="nil"/>
              <w:bottom w:val="nil"/>
              <w:right w:val="nil"/>
            </w:tcBorders>
            <w:shd w:val="clear" w:color="auto" w:fill="auto"/>
            <w:noWrap/>
            <w:vAlign w:val="center"/>
            <w:hideMark/>
          </w:tcPr>
          <w:p w14:paraId="41CC6588" w14:textId="77777777" w:rsidR="00C67E44" w:rsidRPr="00F5285D" w:rsidRDefault="00C67E44" w:rsidP="004725CE">
            <w:pPr>
              <w:rPr>
                <w:rFonts w:ascii="Times New Roman" w:hAnsi="Times New Roman" w:cs="Times New Roman"/>
                <w:sz w:val="20"/>
                <w:szCs w:val="20"/>
              </w:rPr>
            </w:pPr>
          </w:p>
        </w:tc>
      </w:tr>
      <w:tr w:rsidR="00C67E44" w:rsidRPr="00F5285D" w14:paraId="3E475266" w14:textId="77777777" w:rsidTr="004725CE">
        <w:trPr>
          <w:trHeight w:val="300"/>
        </w:trPr>
        <w:tc>
          <w:tcPr>
            <w:tcW w:w="1960" w:type="dxa"/>
            <w:tcBorders>
              <w:top w:val="nil"/>
              <w:left w:val="nil"/>
              <w:bottom w:val="nil"/>
              <w:right w:val="nil"/>
            </w:tcBorders>
            <w:shd w:val="clear" w:color="auto" w:fill="auto"/>
            <w:vAlign w:val="center"/>
            <w:hideMark/>
          </w:tcPr>
          <w:p w14:paraId="4D64BC2C" w14:textId="77777777" w:rsidR="00C67E44" w:rsidRPr="00F5285D" w:rsidRDefault="00C67E44" w:rsidP="004725CE">
            <w:pPr>
              <w:rPr>
                <w:sz w:val="22"/>
                <w:szCs w:val="22"/>
              </w:rPr>
            </w:pPr>
            <w:r w:rsidRPr="00F5285D">
              <w:rPr>
                <w:sz w:val="22"/>
                <w:szCs w:val="22"/>
              </w:rPr>
              <w:t>27.10.</w:t>
            </w:r>
          </w:p>
        </w:tc>
        <w:tc>
          <w:tcPr>
            <w:tcW w:w="7112" w:type="dxa"/>
            <w:tcBorders>
              <w:top w:val="nil"/>
              <w:left w:val="nil"/>
              <w:bottom w:val="nil"/>
              <w:right w:val="nil"/>
            </w:tcBorders>
            <w:shd w:val="clear" w:color="auto" w:fill="auto"/>
            <w:vAlign w:val="center"/>
            <w:hideMark/>
          </w:tcPr>
          <w:p w14:paraId="2C93D461" w14:textId="77777777" w:rsidR="00C67E44" w:rsidRPr="00F5285D" w:rsidRDefault="00C67E44" w:rsidP="004725CE">
            <w:pPr>
              <w:rPr>
                <w:sz w:val="22"/>
                <w:szCs w:val="22"/>
              </w:rPr>
            </w:pPr>
            <w:r w:rsidRPr="00F5285D">
              <w:rPr>
                <w:sz w:val="22"/>
                <w:szCs w:val="22"/>
              </w:rPr>
              <w:t xml:space="preserve">Präsidiumssitzung des Gemeindetags Baden-Württemberg </w:t>
            </w:r>
          </w:p>
        </w:tc>
      </w:tr>
      <w:tr w:rsidR="00C67E44" w:rsidRPr="00F5285D" w14:paraId="2D4F6707" w14:textId="77777777" w:rsidTr="004725CE">
        <w:trPr>
          <w:trHeight w:val="300"/>
        </w:trPr>
        <w:tc>
          <w:tcPr>
            <w:tcW w:w="1960" w:type="dxa"/>
            <w:tcBorders>
              <w:top w:val="nil"/>
              <w:left w:val="nil"/>
              <w:bottom w:val="nil"/>
              <w:right w:val="nil"/>
            </w:tcBorders>
            <w:shd w:val="clear" w:color="auto" w:fill="auto"/>
            <w:noWrap/>
            <w:vAlign w:val="center"/>
            <w:hideMark/>
          </w:tcPr>
          <w:p w14:paraId="5130DFA1" w14:textId="77777777" w:rsidR="00C67E44" w:rsidRPr="00F5285D" w:rsidRDefault="00C67E44" w:rsidP="004725CE">
            <w:pPr>
              <w:rPr>
                <w:sz w:val="22"/>
                <w:szCs w:val="22"/>
              </w:rPr>
            </w:pPr>
          </w:p>
        </w:tc>
        <w:tc>
          <w:tcPr>
            <w:tcW w:w="7112" w:type="dxa"/>
            <w:tcBorders>
              <w:top w:val="nil"/>
              <w:left w:val="nil"/>
              <w:bottom w:val="nil"/>
              <w:right w:val="nil"/>
            </w:tcBorders>
            <w:shd w:val="clear" w:color="auto" w:fill="auto"/>
            <w:noWrap/>
            <w:vAlign w:val="center"/>
            <w:hideMark/>
          </w:tcPr>
          <w:p w14:paraId="5B0015C1" w14:textId="77777777" w:rsidR="00C67E44" w:rsidRPr="00F5285D" w:rsidRDefault="00C67E44" w:rsidP="004725CE">
            <w:pPr>
              <w:rPr>
                <w:rFonts w:ascii="Times New Roman" w:hAnsi="Times New Roman" w:cs="Times New Roman"/>
                <w:sz w:val="20"/>
                <w:szCs w:val="20"/>
              </w:rPr>
            </w:pPr>
          </w:p>
        </w:tc>
      </w:tr>
      <w:tr w:rsidR="00C67E44" w:rsidRPr="00F5285D" w14:paraId="0F912E92" w14:textId="77777777" w:rsidTr="004725CE">
        <w:trPr>
          <w:trHeight w:val="360"/>
        </w:trPr>
        <w:tc>
          <w:tcPr>
            <w:tcW w:w="1960" w:type="dxa"/>
            <w:tcBorders>
              <w:top w:val="nil"/>
              <w:left w:val="nil"/>
              <w:bottom w:val="nil"/>
              <w:right w:val="nil"/>
            </w:tcBorders>
            <w:shd w:val="clear" w:color="auto" w:fill="auto"/>
            <w:vAlign w:val="center"/>
            <w:hideMark/>
          </w:tcPr>
          <w:p w14:paraId="5A30502F" w14:textId="77777777" w:rsidR="00C67E44" w:rsidRPr="00F5285D" w:rsidRDefault="00C67E44" w:rsidP="004725CE">
            <w:pPr>
              <w:rPr>
                <w:b/>
                <w:bCs/>
                <w:sz w:val="28"/>
                <w:szCs w:val="28"/>
              </w:rPr>
            </w:pPr>
            <w:r w:rsidRPr="00F5285D">
              <w:rPr>
                <w:b/>
                <w:bCs/>
                <w:sz w:val="28"/>
                <w:szCs w:val="28"/>
              </w:rPr>
              <w:t>November</w:t>
            </w:r>
          </w:p>
        </w:tc>
        <w:tc>
          <w:tcPr>
            <w:tcW w:w="7112" w:type="dxa"/>
            <w:tcBorders>
              <w:top w:val="nil"/>
              <w:left w:val="nil"/>
              <w:bottom w:val="nil"/>
              <w:right w:val="nil"/>
            </w:tcBorders>
            <w:shd w:val="clear" w:color="auto" w:fill="auto"/>
            <w:noWrap/>
            <w:vAlign w:val="center"/>
            <w:hideMark/>
          </w:tcPr>
          <w:p w14:paraId="0A80F059" w14:textId="77777777" w:rsidR="00C67E44" w:rsidRPr="00F5285D" w:rsidRDefault="00C67E44" w:rsidP="004725CE">
            <w:pPr>
              <w:rPr>
                <w:b/>
                <w:bCs/>
                <w:sz w:val="28"/>
                <w:szCs w:val="28"/>
              </w:rPr>
            </w:pPr>
          </w:p>
        </w:tc>
      </w:tr>
      <w:tr w:rsidR="00C67E44" w:rsidRPr="00F5285D" w14:paraId="0413163B" w14:textId="77777777" w:rsidTr="004725CE">
        <w:trPr>
          <w:trHeight w:val="300"/>
        </w:trPr>
        <w:tc>
          <w:tcPr>
            <w:tcW w:w="1960" w:type="dxa"/>
            <w:tcBorders>
              <w:top w:val="nil"/>
              <w:left w:val="nil"/>
              <w:bottom w:val="nil"/>
              <w:right w:val="nil"/>
            </w:tcBorders>
            <w:shd w:val="clear" w:color="auto" w:fill="auto"/>
            <w:vAlign w:val="center"/>
            <w:hideMark/>
          </w:tcPr>
          <w:p w14:paraId="4FB45F45" w14:textId="77777777" w:rsidR="00C67E44" w:rsidRPr="00F5285D" w:rsidRDefault="00C67E44" w:rsidP="004725CE">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55B7B7CD" w14:textId="77777777" w:rsidR="00C67E44" w:rsidRPr="00F5285D" w:rsidRDefault="00C67E44" w:rsidP="004725CE">
            <w:pPr>
              <w:rPr>
                <w:rFonts w:ascii="Times New Roman" w:hAnsi="Times New Roman" w:cs="Times New Roman"/>
                <w:sz w:val="20"/>
                <w:szCs w:val="20"/>
              </w:rPr>
            </w:pPr>
          </w:p>
        </w:tc>
      </w:tr>
      <w:tr w:rsidR="00C67E44" w:rsidRPr="00F5285D" w14:paraId="0E5C464C" w14:textId="77777777" w:rsidTr="004725CE">
        <w:trPr>
          <w:trHeight w:val="300"/>
        </w:trPr>
        <w:tc>
          <w:tcPr>
            <w:tcW w:w="1960" w:type="dxa"/>
            <w:tcBorders>
              <w:top w:val="nil"/>
              <w:left w:val="nil"/>
              <w:bottom w:val="nil"/>
              <w:right w:val="nil"/>
            </w:tcBorders>
            <w:shd w:val="clear" w:color="auto" w:fill="auto"/>
            <w:vAlign w:val="center"/>
            <w:hideMark/>
          </w:tcPr>
          <w:p w14:paraId="6B489858" w14:textId="77777777" w:rsidR="00C67E44" w:rsidRPr="00F5285D" w:rsidRDefault="00C67E44" w:rsidP="004725CE">
            <w:pPr>
              <w:rPr>
                <w:sz w:val="22"/>
                <w:szCs w:val="22"/>
              </w:rPr>
            </w:pPr>
            <w:r w:rsidRPr="00F5285D">
              <w:rPr>
                <w:sz w:val="22"/>
                <w:szCs w:val="22"/>
              </w:rPr>
              <w:t>04.11.</w:t>
            </w:r>
          </w:p>
        </w:tc>
        <w:tc>
          <w:tcPr>
            <w:tcW w:w="7112" w:type="dxa"/>
            <w:tcBorders>
              <w:top w:val="nil"/>
              <w:left w:val="nil"/>
              <w:bottom w:val="nil"/>
              <w:right w:val="nil"/>
            </w:tcBorders>
            <w:shd w:val="clear" w:color="auto" w:fill="auto"/>
            <w:vAlign w:val="center"/>
            <w:hideMark/>
          </w:tcPr>
          <w:p w14:paraId="5B0949AD" w14:textId="77777777" w:rsidR="00C67E44" w:rsidRPr="00F5285D" w:rsidRDefault="00C67E44" w:rsidP="004725CE">
            <w:pPr>
              <w:rPr>
                <w:sz w:val="22"/>
                <w:szCs w:val="22"/>
              </w:rPr>
            </w:pPr>
            <w:r w:rsidRPr="00F5285D">
              <w:rPr>
                <w:sz w:val="22"/>
                <w:szCs w:val="22"/>
              </w:rPr>
              <w:t>Vorstand des Städtebundes Schleswig-Holstein</w:t>
            </w:r>
          </w:p>
        </w:tc>
      </w:tr>
      <w:tr w:rsidR="00C67E44" w:rsidRPr="00F5285D" w14:paraId="6DB5A770" w14:textId="77777777" w:rsidTr="004725CE">
        <w:trPr>
          <w:trHeight w:val="300"/>
        </w:trPr>
        <w:tc>
          <w:tcPr>
            <w:tcW w:w="1960" w:type="dxa"/>
            <w:tcBorders>
              <w:top w:val="nil"/>
              <w:left w:val="nil"/>
              <w:bottom w:val="nil"/>
              <w:right w:val="nil"/>
            </w:tcBorders>
            <w:shd w:val="clear" w:color="auto" w:fill="auto"/>
            <w:vAlign w:val="center"/>
            <w:hideMark/>
          </w:tcPr>
          <w:p w14:paraId="050179ED" w14:textId="77777777" w:rsidR="00C67E44" w:rsidRPr="00F5285D" w:rsidRDefault="00C67E44" w:rsidP="004725CE">
            <w:pPr>
              <w:rPr>
                <w:sz w:val="22"/>
                <w:szCs w:val="22"/>
              </w:rPr>
            </w:pPr>
          </w:p>
        </w:tc>
        <w:tc>
          <w:tcPr>
            <w:tcW w:w="7112" w:type="dxa"/>
            <w:tcBorders>
              <w:top w:val="nil"/>
              <w:left w:val="nil"/>
              <w:bottom w:val="nil"/>
              <w:right w:val="nil"/>
            </w:tcBorders>
            <w:shd w:val="clear" w:color="auto" w:fill="auto"/>
            <w:vAlign w:val="center"/>
            <w:hideMark/>
          </w:tcPr>
          <w:p w14:paraId="24AF21F0" w14:textId="77777777" w:rsidR="00C67E44" w:rsidRPr="00F5285D" w:rsidRDefault="00C67E44" w:rsidP="004725CE">
            <w:pPr>
              <w:rPr>
                <w:rFonts w:ascii="Times New Roman" w:hAnsi="Times New Roman" w:cs="Times New Roman"/>
                <w:sz w:val="20"/>
                <w:szCs w:val="20"/>
              </w:rPr>
            </w:pPr>
          </w:p>
        </w:tc>
      </w:tr>
      <w:tr w:rsidR="00C67E44" w:rsidRPr="00F5285D" w14:paraId="04F24143" w14:textId="77777777" w:rsidTr="004725CE">
        <w:trPr>
          <w:trHeight w:val="300"/>
        </w:trPr>
        <w:tc>
          <w:tcPr>
            <w:tcW w:w="1960" w:type="dxa"/>
            <w:tcBorders>
              <w:top w:val="nil"/>
              <w:left w:val="nil"/>
              <w:bottom w:val="nil"/>
              <w:right w:val="nil"/>
            </w:tcBorders>
            <w:shd w:val="clear" w:color="auto" w:fill="auto"/>
            <w:vAlign w:val="center"/>
            <w:hideMark/>
          </w:tcPr>
          <w:p w14:paraId="6CE556D1" w14:textId="77777777" w:rsidR="00C67E44" w:rsidRPr="00F5285D" w:rsidRDefault="00C67E44" w:rsidP="004725CE">
            <w:pPr>
              <w:rPr>
                <w:sz w:val="22"/>
                <w:szCs w:val="22"/>
              </w:rPr>
            </w:pPr>
            <w:r w:rsidRPr="00F5285D">
              <w:rPr>
                <w:sz w:val="22"/>
                <w:szCs w:val="22"/>
              </w:rPr>
              <w:t>08.11.</w:t>
            </w:r>
          </w:p>
        </w:tc>
        <w:tc>
          <w:tcPr>
            <w:tcW w:w="7112" w:type="dxa"/>
            <w:tcBorders>
              <w:top w:val="nil"/>
              <w:left w:val="nil"/>
              <w:bottom w:val="nil"/>
              <w:right w:val="nil"/>
            </w:tcBorders>
            <w:shd w:val="clear" w:color="auto" w:fill="auto"/>
            <w:vAlign w:val="center"/>
            <w:hideMark/>
          </w:tcPr>
          <w:p w14:paraId="354075C1" w14:textId="77777777" w:rsidR="00C67E44" w:rsidRPr="00F5285D" w:rsidRDefault="00C67E44" w:rsidP="004725CE">
            <w:pPr>
              <w:rPr>
                <w:sz w:val="22"/>
                <w:szCs w:val="22"/>
              </w:rPr>
            </w:pPr>
            <w:r w:rsidRPr="00F5285D">
              <w:rPr>
                <w:sz w:val="22"/>
                <w:szCs w:val="22"/>
              </w:rPr>
              <w:t xml:space="preserve">Mitgliederversammlung des Gemeinde- und Städtebunds Rheinland-Pfalz </w:t>
            </w:r>
          </w:p>
        </w:tc>
      </w:tr>
      <w:tr w:rsidR="00C67E44" w:rsidRPr="00F5285D" w14:paraId="26CB6EF5" w14:textId="77777777" w:rsidTr="004725CE">
        <w:trPr>
          <w:trHeight w:val="300"/>
        </w:trPr>
        <w:tc>
          <w:tcPr>
            <w:tcW w:w="1960" w:type="dxa"/>
            <w:tcBorders>
              <w:top w:val="nil"/>
              <w:left w:val="nil"/>
              <w:bottom w:val="nil"/>
              <w:right w:val="nil"/>
            </w:tcBorders>
            <w:shd w:val="clear" w:color="auto" w:fill="auto"/>
            <w:noWrap/>
            <w:vAlign w:val="center"/>
            <w:hideMark/>
          </w:tcPr>
          <w:p w14:paraId="5CBE5A24" w14:textId="77777777" w:rsidR="00C67E44" w:rsidRPr="00F5285D" w:rsidRDefault="00C67E44" w:rsidP="004725CE">
            <w:pPr>
              <w:rPr>
                <w:sz w:val="22"/>
                <w:szCs w:val="22"/>
              </w:rPr>
            </w:pPr>
          </w:p>
        </w:tc>
        <w:tc>
          <w:tcPr>
            <w:tcW w:w="7112" w:type="dxa"/>
            <w:tcBorders>
              <w:top w:val="nil"/>
              <w:left w:val="nil"/>
              <w:bottom w:val="nil"/>
              <w:right w:val="nil"/>
            </w:tcBorders>
            <w:shd w:val="clear" w:color="auto" w:fill="auto"/>
            <w:noWrap/>
            <w:vAlign w:val="center"/>
            <w:hideMark/>
          </w:tcPr>
          <w:p w14:paraId="0D94F6C4" w14:textId="77777777" w:rsidR="00C67E44" w:rsidRPr="00F5285D" w:rsidRDefault="00C67E44" w:rsidP="004725CE">
            <w:pPr>
              <w:rPr>
                <w:rFonts w:ascii="Times New Roman" w:hAnsi="Times New Roman" w:cs="Times New Roman"/>
                <w:sz w:val="20"/>
                <w:szCs w:val="20"/>
              </w:rPr>
            </w:pPr>
          </w:p>
        </w:tc>
      </w:tr>
      <w:tr w:rsidR="00C67E44" w:rsidRPr="00F5285D" w14:paraId="43BD2A56" w14:textId="77777777" w:rsidTr="004725CE">
        <w:trPr>
          <w:trHeight w:val="300"/>
        </w:trPr>
        <w:tc>
          <w:tcPr>
            <w:tcW w:w="1960" w:type="dxa"/>
            <w:tcBorders>
              <w:top w:val="nil"/>
              <w:left w:val="nil"/>
              <w:bottom w:val="nil"/>
              <w:right w:val="nil"/>
            </w:tcBorders>
            <w:shd w:val="clear" w:color="auto" w:fill="auto"/>
            <w:vAlign w:val="center"/>
            <w:hideMark/>
          </w:tcPr>
          <w:p w14:paraId="656C77DB" w14:textId="77777777" w:rsidR="00C67E44" w:rsidRPr="00F5285D" w:rsidRDefault="00C67E44" w:rsidP="004725CE">
            <w:pPr>
              <w:rPr>
                <w:sz w:val="22"/>
                <w:szCs w:val="22"/>
              </w:rPr>
            </w:pPr>
            <w:r w:rsidRPr="00F5285D">
              <w:rPr>
                <w:sz w:val="22"/>
                <w:szCs w:val="22"/>
              </w:rPr>
              <w:t>08.11.</w:t>
            </w:r>
          </w:p>
        </w:tc>
        <w:tc>
          <w:tcPr>
            <w:tcW w:w="7112" w:type="dxa"/>
            <w:tcBorders>
              <w:top w:val="nil"/>
              <w:left w:val="nil"/>
              <w:bottom w:val="nil"/>
              <w:right w:val="nil"/>
            </w:tcBorders>
            <w:shd w:val="clear" w:color="auto" w:fill="auto"/>
            <w:vAlign w:val="center"/>
            <w:hideMark/>
          </w:tcPr>
          <w:p w14:paraId="0D3EF802" w14:textId="77777777" w:rsidR="00C67E44" w:rsidRPr="00F5285D" w:rsidRDefault="00C67E44" w:rsidP="004725CE">
            <w:pPr>
              <w:rPr>
                <w:sz w:val="22"/>
                <w:szCs w:val="22"/>
              </w:rPr>
            </w:pPr>
            <w:r w:rsidRPr="00F5285D">
              <w:rPr>
                <w:sz w:val="22"/>
                <w:szCs w:val="22"/>
              </w:rPr>
              <w:t>63. Kreisvorstandskonferenz des Städte- und Gemeindebundes Sachsen-Anhalt</w:t>
            </w:r>
          </w:p>
        </w:tc>
      </w:tr>
      <w:tr w:rsidR="00C67E44" w:rsidRPr="00F5285D" w14:paraId="64C725AF" w14:textId="77777777" w:rsidTr="004725CE">
        <w:trPr>
          <w:trHeight w:val="300"/>
        </w:trPr>
        <w:tc>
          <w:tcPr>
            <w:tcW w:w="1960" w:type="dxa"/>
            <w:tcBorders>
              <w:top w:val="nil"/>
              <w:left w:val="nil"/>
              <w:bottom w:val="nil"/>
              <w:right w:val="nil"/>
            </w:tcBorders>
            <w:shd w:val="clear" w:color="auto" w:fill="auto"/>
            <w:vAlign w:val="center"/>
            <w:hideMark/>
          </w:tcPr>
          <w:p w14:paraId="4B0DF544" w14:textId="77777777" w:rsidR="00C67E44" w:rsidRPr="00F5285D" w:rsidRDefault="00C67E44" w:rsidP="004725CE">
            <w:pPr>
              <w:rPr>
                <w:sz w:val="22"/>
                <w:szCs w:val="22"/>
              </w:rPr>
            </w:pPr>
          </w:p>
        </w:tc>
        <w:tc>
          <w:tcPr>
            <w:tcW w:w="7112" w:type="dxa"/>
            <w:tcBorders>
              <w:top w:val="nil"/>
              <w:left w:val="nil"/>
              <w:bottom w:val="nil"/>
              <w:right w:val="nil"/>
            </w:tcBorders>
            <w:shd w:val="clear" w:color="auto" w:fill="auto"/>
            <w:vAlign w:val="center"/>
            <w:hideMark/>
          </w:tcPr>
          <w:p w14:paraId="71870B3D" w14:textId="77777777" w:rsidR="00C67E44" w:rsidRPr="00F5285D" w:rsidRDefault="00C67E44" w:rsidP="004725CE">
            <w:pPr>
              <w:rPr>
                <w:rFonts w:ascii="Times New Roman" w:hAnsi="Times New Roman" w:cs="Times New Roman"/>
                <w:sz w:val="20"/>
                <w:szCs w:val="20"/>
              </w:rPr>
            </w:pPr>
          </w:p>
        </w:tc>
      </w:tr>
      <w:tr w:rsidR="00C67E44" w:rsidRPr="00F5285D" w14:paraId="26231E7C" w14:textId="77777777" w:rsidTr="004725CE">
        <w:trPr>
          <w:trHeight w:val="300"/>
        </w:trPr>
        <w:tc>
          <w:tcPr>
            <w:tcW w:w="1960" w:type="dxa"/>
            <w:tcBorders>
              <w:top w:val="nil"/>
              <w:left w:val="nil"/>
              <w:bottom w:val="nil"/>
              <w:right w:val="nil"/>
            </w:tcBorders>
            <w:shd w:val="clear" w:color="auto" w:fill="auto"/>
            <w:vAlign w:val="center"/>
            <w:hideMark/>
          </w:tcPr>
          <w:p w14:paraId="46FD9499" w14:textId="77777777" w:rsidR="00C67E44" w:rsidRPr="00F5285D" w:rsidRDefault="00C67E44" w:rsidP="004725CE">
            <w:pPr>
              <w:rPr>
                <w:b/>
                <w:bCs/>
                <w:sz w:val="22"/>
                <w:szCs w:val="22"/>
              </w:rPr>
            </w:pPr>
            <w:r w:rsidRPr="00F5285D">
              <w:rPr>
                <w:b/>
                <w:bCs/>
                <w:sz w:val="22"/>
                <w:szCs w:val="22"/>
              </w:rPr>
              <w:t>15.11.</w:t>
            </w:r>
          </w:p>
        </w:tc>
        <w:tc>
          <w:tcPr>
            <w:tcW w:w="7112" w:type="dxa"/>
            <w:tcBorders>
              <w:top w:val="nil"/>
              <w:left w:val="nil"/>
              <w:bottom w:val="nil"/>
              <w:right w:val="nil"/>
            </w:tcBorders>
            <w:shd w:val="clear" w:color="auto" w:fill="auto"/>
            <w:noWrap/>
            <w:vAlign w:val="bottom"/>
            <w:hideMark/>
          </w:tcPr>
          <w:p w14:paraId="093A8C40" w14:textId="77777777" w:rsidR="00C67E44" w:rsidRPr="00F5285D" w:rsidRDefault="00C67E44" w:rsidP="004725CE">
            <w:pPr>
              <w:rPr>
                <w:b/>
                <w:bCs/>
                <w:color w:val="000000"/>
                <w:sz w:val="22"/>
                <w:szCs w:val="22"/>
              </w:rPr>
            </w:pPr>
            <w:r w:rsidRPr="00F5285D">
              <w:rPr>
                <w:b/>
                <w:bCs/>
                <w:color w:val="000000"/>
                <w:sz w:val="22"/>
                <w:szCs w:val="22"/>
              </w:rPr>
              <w:t>DStGB-Präsidiumssitzung, Bonn</w:t>
            </w:r>
          </w:p>
        </w:tc>
      </w:tr>
      <w:tr w:rsidR="00C67E44" w:rsidRPr="00F5285D" w14:paraId="43A1D6EE" w14:textId="77777777" w:rsidTr="004725CE">
        <w:trPr>
          <w:trHeight w:val="300"/>
        </w:trPr>
        <w:tc>
          <w:tcPr>
            <w:tcW w:w="1960" w:type="dxa"/>
            <w:tcBorders>
              <w:top w:val="nil"/>
              <w:left w:val="nil"/>
              <w:bottom w:val="nil"/>
              <w:right w:val="nil"/>
            </w:tcBorders>
            <w:shd w:val="clear" w:color="auto" w:fill="auto"/>
            <w:noWrap/>
            <w:vAlign w:val="center"/>
            <w:hideMark/>
          </w:tcPr>
          <w:p w14:paraId="2C554D78" w14:textId="77777777" w:rsidR="00C67E44" w:rsidRPr="00F5285D" w:rsidRDefault="00C67E44" w:rsidP="004725CE">
            <w:pPr>
              <w:rPr>
                <w:b/>
                <w:bCs/>
                <w:color w:val="000000"/>
                <w:sz w:val="22"/>
                <w:szCs w:val="22"/>
              </w:rPr>
            </w:pPr>
          </w:p>
        </w:tc>
        <w:tc>
          <w:tcPr>
            <w:tcW w:w="7112" w:type="dxa"/>
            <w:tcBorders>
              <w:top w:val="nil"/>
              <w:left w:val="nil"/>
              <w:bottom w:val="nil"/>
              <w:right w:val="nil"/>
            </w:tcBorders>
            <w:shd w:val="clear" w:color="auto" w:fill="auto"/>
            <w:noWrap/>
            <w:vAlign w:val="center"/>
            <w:hideMark/>
          </w:tcPr>
          <w:p w14:paraId="5F89C6F0" w14:textId="77777777" w:rsidR="00C67E44" w:rsidRPr="00F5285D" w:rsidRDefault="00C67E44" w:rsidP="004725CE">
            <w:pPr>
              <w:rPr>
                <w:rFonts w:ascii="Times New Roman" w:hAnsi="Times New Roman" w:cs="Times New Roman"/>
                <w:sz w:val="20"/>
                <w:szCs w:val="20"/>
              </w:rPr>
            </w:pPr>
          </w:p>
        </w:tc>
      </w:tr>
      <w:tr w:rsidR="00C67E44" w:rsidRPr="00F5285D" w14:paraId="68705F6B" w14:textId="77777777" w:rsidTr="004725CE">
        <w:trPr>
          <w:trHeight w:val="300"/>
        </w:trPr>
        <w:tc>
          <w:tcPr>
            <w:tcW w:w="1960" w:type="dxa"/>
            <w:tcBorders>
              <w:top w:val="nil"/>
              <w:left w:val="nil"/>
              <w:bottom w:val="nil"/>
              <w:right w:val="nil"/>
            </w:tcBorders>
            <w:shd w:val="clear" w:color="auto" w:fill="auto"/>
            <w:vAlign w:val="center"/>
            <w:hideMark/>
          </w:tcPr>
          <w:p w14:paraId="32BF37F6" w14:textId="77777777" w:rsidR="00C67E44" w:rsidRPr="00F5285D" w:rsidRDefault="00C67E44" w:rsidP="004725CE">
            <w:pPr>
              <w:rPr>
                <w:sz w:val="22"/>
                <w:szCs w:val="22"/>
              </w:rPr>
            </w:pPr>
            <w:r w:rsidRPr="00F5285D">
              <w:rPr>
                <w:sz w:val="22"/>
                <w:szCs w:val="22"/>
              </w:rPr>
              <w:t>17.11.</w:t>
            </w:r>
          </w:p>
        </w:tc>
        <w:tc>
          <w:tcPr>
            <w:tcW w:w="7112" w:type="dxa"/>
            <w:tcBorders>
              <w:top w:val="nil"/>
              <w:left w:val="nil"/>
              <w:bottom w:val="nil"/>
              <w:right w:val="nil"/>
            </w:tcBorders>
            <w:shd w:val="clear" w:color="auto" w:fill="auto"/>
            <w:vAlign w:val="center"/>
            <w:hideMark/>
          </w:tcPr>
          <w:p w14:paraId="6CD2A77D" w14:textId="77777777" w:rsidR="00C67E44" w:rsidRPr="00F5285D" w:rsidRDefault="00C67E44" w:rsidP="004725CE">
            <w:pPr>
              <w:rPr>
                <w:sz w:val="22"/>
                <w:szCs w:val="22"/>
              </w:rPr>
            </w:pPr>
            <w:r w:rsidRPr="00F5285D">
              <w:rPr>
                <w:sz w:val="22"/>
                <w:szCs w:val="22"/>
              </w:rPr>
              <w:t xml:space="preserve">Landesvorstand des Gemeindetags Baden-Württemberg </w:t>
            </w:r>
          </w:p>
        </w:tc>
      </w:tr>
      <w:tr w:rsidR="00C67E44" w:rsidRPr="00F5285D" w14:paraId="51993B17" w14:textId="77777777" w:rsidTr="004725CE">
        <w:trPr>
          <w:trHeight w:val="300"/>
        </w:trPr>
        <w:tc>
          <w:tcPr>
            <w:tcW w:w="1960" w:type="dxa"/>
            <w:tcBorders>
              <w:top w:val="nil"/>
              <w:left w:val="nil"/>
              <w:bottom w:val="nil"/>
              <w:right w:val="nil"/>
            </w:tcBorders>
            <w:shd w:val="clear" w:color="auto" w:fill="auto"/>
            <w:noWrap/>
            <w:vAlign w:val="center"/>
            <w:hideMark/>
          </w:tcPr>
          <w:p w14:paraId="3A097333" w14:textId="77777777" w:rsidR="00C67E44" w:rsidRPr="00F5285D" w:rsidRDefault="00C67E44" w:rsidP="004725CE">
            <w:pPr>
              <w:rPr>
                <w:sz w:val="22"/>
                <w:szCs w:val="22"/>
              </w:rPr>
            </w:pPr>
          </w:p>
        </w:tc>
        <w:tc>
          <w:tcPr>
            <w:tcW w:w="7112" w:type="dxa"/>
            <w:tcBorders>
              <w:top w:val="nil"/>
              <w:left w:val="nil"/>
              <w:bottom w:val="nil"/>
              <w:right w:val="nil"/>
            </w:tcBorders>
            <w:shd w:val="clear" w:color="auto" w:fill="auto"/>
            <w:noWrap/>
            <w:vAlign w:val="center"/>
            <w:hideMark/>
          </w:tcPr>
          <w:p w14:paraId="17953183" w14:textId="77777777" w:rsidR="00C67E44" w:rsidRPr="00F5285D" w:rsidRDefault="00C67E44" w:rsidP="004725CE">
            <w:pPr>
              <w:rPr>
                <w:rFonts w:ascii="Times New Roman" w:hAnsi="Times New Roman" w:cs="Times New Roman"/>
                <w:sz w:val="20"/>
                <w:szCs w:val="20"/>
              </w:rPr>
            </w:pPr>
          </w:p>
        </w:tc>
      </w:tr>
      <w:tr w:rsidR="00C67E44" w:rsidRPr="00F5285D" w14:paraId="3E5BD1BB" w14:textId="77777777" w:rsidTr="004725CE">
        <w:trPr>
          <w:trHeight w:val="300"/>
        </w:trPr>
        <w:tc>
          <w:tcPr>
            <w:tcW w:w="1960" w:type="dxa"/>
            <w:tcBorders>
              <w:top w:val="nil"/>
              <w:left w:val="nil"/>
              <w:bottom w:val="nil"/>
              <w:right w:val="nil"/>
            </w:tcBorders>
            <w:shd w:val="clear" w:color="auto" w:fill="auto"/>
            <w:vAlign w:val="center"/>
            <w:hideMark/>
          </w:tcPr>
          <w:p w14:paraId="7E7CCCA6" w14:textId="77777777" w:rsidR="00C67E44" w:rsidRPr="00F5285D" w:rsidRDefault="00C67E44" w:rsidP="004725CE">
            <w:pPr>
              <w:rPr>
                <w:sz w:val="22"/>
                <w:szCs w:val="22"/>
              </w:rPr>
            </w:pPr>
            <w:r w:rsidRPr="00F5285D">
              <w:rPr>
                <w:sz w:val="22"/>
                <w:szCs w:val="22"/>
              </w:rPr>
              <w:t>17.11.</w:t>
            </w:r>
          </w:p>
        </w:tc>
        <w:tc>
          <w:tcPr>
            <w:tcW w:w="7112" w:type="dxa"/>
            <w:tcBorders>
              <w:top w:val="nil"/>
              <w:left w:val="nil"/>
              <w:bottom w:val="nil"/>
              <w:right w:val="nil"/>
            </w:tcBorders>
            <w:shd w:val="clear" w:color="auto" w:fill="auto"/>
            <w:vAlign w:val="center"/>
            <w:hideMark/>
          </w:tcPr>
          <w:p w14:paraId="14C400B5" w14:textId="77777777" w:rsidR="00C67E44" w:rsidRPr="00F5285D" w:rsidRDefault="00C67E44" w:rsidP="004725CE">
            <w:pPr>
              <w:rPr>
                <w:sz w:val="22"/>
                <w:szCs w:val="22"/>
              </w:rPr>
            </w:pPr>
            <w:r w:rsidRPr="00F5285D">
              <w:rPr>
                <w:sz w:val="22"/>
                <w:szCs w:val="22"/>
              </w:rPr>
              <w:t>Ausschuss für Wirtschaft und Finanzen des Städteverbandes Schleswig-Holstein</w:t>
            </w:r>
          </w:p>
        </w:tc>
      </w:tr>
      <w:tr w:rsidR="00C67E44" w:rsidRPr="00F5285D" w14:paraId="66A92FB2" w14:textId="77777777" w:rsidTr="004725CE">
        <w:trPr>
          <w:trHeight w:val="300"/>
        </w:trPr>
        <w:tc>
          <w:tcPr>
            <w:tcW w:w="1960" w:type="dxa"/>
            <w:tcBorders>
              <w:top w:val="nil"/>
              <w:left w:val="nil"/>
              <w:bottom w:val="nil"/>
              <w:right w:val="nil"/>
            </w:tcBorders>
            <w:shd w:val="clear" w:color="auto" w:fill="auto"/>
            <w:vAlign w:val="center"/>
            <w:hideMark/>
          </w:tcPr>
          <w:p w14:paraId="6389D2B1" w14:textId="77777777" w:rsidR="00C67E44" w:rsidRPr="00F5285D" w:rsidRDefault="00C67E44" w:rsidP="004725CE">
            <w:pPr>
              <w:rPr>
                <w:sz w:val="22"/>
                <w:szCs w:val="22"/>
              </w:rPr>
            </w:pPr>
          </w:p>
        </w:tc>
        <w:tc>
          <w:tcPr>
            <w:tcW w:w="7112" w:type="dxa"/>
            <w:tcBorders>
              <w:top w:val="nil"/>
              <w:left w:val="nil"/>
              <w:bottom w:val="nil"/>
              <w:right w:val="nil"/>
            </w:tcBorders>
            <w:shd w:val="clear" w:color="auto" w:fill="auto"/>
            <w:vAlign w:val="center"/>
            <w:hideMark/>
          </w:tcPr>
          <w:p w14:paraId="3964AF63" w14:textId="77777777" w:rsidR="00C67E44" w:rsidRPr="00F5285D" w:rsidRDefault="00C67E44" w:rsidP="004725CE">
            <w:pPr>
              <w:rPr>
                <w:rFonts w:ascii="Times New Roman" w:hAnsi="Times New Roman" w:cs="Times New Roman"/>
                <w:sz w:val="20"/>
                <w:szCs w:val="20"/>
              </w:rPr>
            </w:pPr>
          </w:p>
        </w:tc>
      </w:tr>
      <w:tr w:rsidR="00C67E44" w:rsidRPr="00F5285D" w14:paraId="027295EC" w14:textId="77777777" w:rsidTr="004725CE">
        <w:trPr>
          <w:trHeight w:val="600"/>
        </w:trPr>
        <w:tc>
          <w:tcPr>
            <w:tcW w:w="1960" w:type="dxa"/>
            <w:tcBorders>
              <w:top w:val="nil"/>
              <w:left w:val="nil"/>
              <w:bottom w:val="nil"/>
              <w:right w:val="nil"/>
            </w:tcBorders>
            <w:shd w:val="clear" w:color="auto" w:fill="auto"/>
            <w:vAlign w:val="center"/>
            <w:hideMark/>
          </w:tcPr>
          <w:p w14:paraId="0397AB7D" w14:textId="77777777" w:rsidR="00C67E44" w:rsidRPr="00F5285D" w:rsidRDefault="00C67E44" w:rsidP="004725CE">
            <w:pPr>
              <w:rPr>
                <w:b/>
                <w:bCs/>
                <w:sz w:val="22"/>
                <w:szCs w:val="22"/>
              </w:rPr>
            </w:pPr>
            <w:r w:rsidRPr="00F5285D">
              <w:rPr>
                <w:b/>
                <w:bCs/>
                <w:sz w:val="22"/>
                <w:szCs w:val="22"/>
              </w:rPr>
              <w:lastRenderedPageBreak/>
              <w:t>18.11.</w:t>
            </w:r>
          </w:p>
        </w:tc>
        <w:tc>
          <w:tcPr>
            <w:tcW w:w="7112" w:type="dxa"/>
            <w:tcBorders>
              <w:top w:val="nil"/>
              <w:left w:val="nil"/>
              <w:bottom w:val="nil"/>
              <w:right w:val="nil"/>
            </w:tcBorders>
            <w:shd w:val="clear" w:color="auto" w:fill="auto"/>
            <w:vAlign w:val="center"/>
            <w:hideMark/>
          </w:tcPr>
          <w:p w14:paraId="6C9A9C7F" w14:textId="77777777" w:rsidR="00C67E44" w:rsidRPr="00F5285D" w:rsidRDefault="00C67E44" w:rsidP="004725CE">
            <w:pPr>
              <w:rPr>
                <w:b/>
                <w:bCs/>
                <w:sz w:val="22"/>
                <w:szCs w:val="22"/>
              </w:rPr>
            </w:pPr>
            <w:r w:rsidRPr="00F5285D">
              <w:rPr>
                <w:b/>
                <w:bCs/>
                <w:sz w:val="22"/>
                <w:szCs w:val="22"/>
              </w:rPr>
              <w:t>Forum deutscher Wirtschaftsförderungen „Die Schubkraft von Krisen nutzen! Wirtschaftsförderung als Impulsgeber und Gestalter“ (DStGB, DST, DLT, DVWE &amp; difu), Online</w:t>
            </w:r>
          </w:p>
        </w:tc>
      </w:tr>
      <w:tr w:rsidR="00C67E44" w:rsidRPr="00F5285D" w14:paraId="6A4307DD" w14:textId="77777777" w:rsidTr="004725CE">
        <w:trPr>
          <w:trHeight w:val="300"/>
        </w:trPr>
        <w:tc>
          <w:tcPr>
            <w:tcW w:w="1960" w:type="dxa"/>
            <w:tcBorders>
              <w:top w:val="nil"/>
              <w:left w:val="nil"/>
              <w:bottom w:val="nil"/>
              <w:right w:val="nil"/>
            </w:tcBorders>
            <w:shd w:val="clear" w:color="auto" w:fill="auto"/>
            <w:noWrap/>
            <w:vAlign w:val="center"/>
            <w:hideMark/>
          </w:tcPr>
          <w:p w14:paraId="00EE33DD" w14:textId="77777777" w:rsidR="00C67E44" w:rsidRPr="00F5285D" w:rsidRDefault="00C67E44" w:rsidP="004725CE">
            <w:pPr>
              <w:rPr>
                <w:b/>
                <w:bCs/>
                <w:sz w:val="22"/>
                <w:szCs w:val="22"/>
              </w:rPr>
            </w:pPr>
          </w:p>
        </w:tc>
        <w:tc>
          <w:tcPr>
            <w:tcW w:w="7112" w:type="dxa"/>
            <w:tcBorders>
              <w:top w:val="nil"/>
              <w:left w:val="nil"/>
              <w:bottom w:val="nil"/>
              <w:right w:val="nil"/>
            </w:tcBorders>
            <w:shd w:val="clear" w:color="auto" w:fill="auto"/>
            <w:noWrap/>
            <w:vAlign w:val="center"/>
            <w:hideMark/>
          </w:tcPr>
          <w:p w14:paraId="4D485072" w14:textId="77777777" w:rsidR="00C67E44" w:rsidRPr="00F5285D" w:rsidRDefault="00C67E44" w:rsidP="004725CE">
            <w:pPr>
              <w:rPr>
                <w:rFonts w:ascii="Times New Roman" w:hAnsi="Times New Roman" w:cs="Times New Roman"/>
                <w:sz w:val="20"/>
                <w:szCs w:val="20"/>
              </w:rPr>
            </w:pPr>
          </w:p>
        </w:tc>
      </w:tr>
      <w:tr w:rsidR="00C67E44" w:rsidRPr="00F5285D" w14:paraId="45CAC50D" w14:textId="77777777" w:rsidTr="004725CE">
        <w:trPr>
          <w:trHeight w:val="570"/>
        </w:trPr>
        <w:tc>
          <w:tcPr>
            <w:tcW w:w="1960" w:type="dxa"/>
            <w:tcBorders>
              <w:top w:val="nil"/>
              <w:left w:val="nil"/>
              <w:bottom w:val="nil"/>
              <w:right w:val="nil"/>
            </w:tcBorders>
            <w:shd w:val="clear" w:color="auto" w:fill="auto"/>
            <w:vAlign w:val="center"/>
            <w:hideMark/>
          </w:tcPr>
          <w:p w14:paraId="289189F2" w14:textId="77777777" w:rsidR="00C67E44" w:rsidRPr="00F5285D" w:rsidRDefault="00C67E44" w:rsidP="004725CE">
            <w:pPr>
              <w:rPr>
                <w:sz w:val="22"/>
                <w:szCs w:val="22"/>
              </w:rPr>
            </w:pPr>
            <w:r w:rsidRPr="00F5285D">
              <w:rPr>
                <w:sz w:val="22"/>
                <w:szCs w:val="22"/>
              </w:rPr>
              <w:t>25.11.</w:t>
            </w:r>
          </w:p>
        </w:tc>
        <w:tc>
          <w:tcPr>
            <w:tcW w:w="7112" w:type="dxa"/>
            <w:tcBorders>
              <w:top w:val="nil"/>
              <w:left w:val="nil"/>
              <w:bottom w:val="nil"/>
              <w:right w:val="nil"/>
            </w:tcBorders>
            <w:shd w:val="clear" w:color="auto" w:fill="auto"/>
            <w:vAlign w:val="center"/>
            <w:hideMark/>
          </w:tcPr>
          <w:p w14:paraId="7265C887" w14:textId="77777777" w:rsidR="00C67E44" w:rsidRPr="00F5285D" w:rsidRDefault="00C67E44" w:rsidP="004725CE">
            <w:pPr>
              <w:rPr>
                <w:sz w:val="22"/>
                <w:szCs w:val="22"/>
              </w:rPr>
            </w:pPr>
            <w:r w:rsidRPr="00F5285D">
              <w:rPr>
                <w:sz w:val="22"/>
                <w:szCs w:val="22"/>
              </w:rPr>
              <w:t>Präsidium- und Hauptausschusssitzung des Hessischen Städte- und Gemeindebundes, Sitzungsort offen</w:t>
            </w:r>
          </w:p>
        </w:tc>
      </w:tr>
      <w:tr w:rsidR="00C67E44" w:rsidRPr="00F5285D" w14:paraId="4477A21E" w14:textId="77777777" w:rsidTr="004725CE">
        <w:trPr>
          <w:trHeight w:val="570"/>
        </w:trPr>
        <w:tc>
          <w:tcPr>
            <w:tcW w:w="1960" w:type="dxa"/>
            <w:tcBorders>
              <w:top w:val="nil"/>
              <w:left w:val="nil"/>
              <w:bottom w:val="nil"/>
              <w:right w:val="nil"/>
            </w:tcBorders>
            <w:shd w:val="clear" w:color="auto" w:fill="auto"/>
            <w:vAlign w:val="center"/>
          </w:tcPr>
          <w:p w14:paraId="0EF64DAE" w14:textId="77777777" w:rsidR="00C67E44" w:rsidRPr="00F5285D" w:rsidRDefault="00C67E44" w:rsidP="004725CE">
            <w:pPr>
              <w:rPr>
                <w:sz w:val="22"/>
                <w:szCs w:val="22"/>
              </w:rPr>
            </w:pPr>
          </w:p>
        </w:tc>
        <w:tc>
          <w:tcPr>
            <w:tcW w:w="7112" w:type="dxa"/>
            <w:tcBorders>
              <w:top w:val="nil"/>
              <w:left w:val="nil"/>
              <w:bottom w:val="nil"/>
              <w:right w:val="nil"/>
            </w:tcBorders>
            <w:shd w:val="clear" w:color="auto" w:fill="auto"/>
            <w:vAlign w:val="center"/>
          </w:tcPr>
          <w:p w14:paraId="1A0ECA67" w14:textId="77777777" w:rsidR="00C67E44" w:rsidRPr="00F5285D" w:rsidRDefault="00C67E44" w:rsidP="004725CE">
            <w:pPr>
              <w:rPr>
                <w:sz w:val="22"/>
                <w:szCs w:val="22"/>
              </w:rPr>
            </w:pPr>
          </w:p>
        </w:tc>
      </w:tr>
      <w:tr w:rsidR="00C67E44" w:rsidRPr="002A48AD" w14:paraId="5756EB27" w14:textId="77777777" w:rsidTr="004725CE">
        <w:trPr>
          <w:trHeight w:val="570"/>
        </w:trPr>
        <w:tc>
          <w:tcPr>
            <w:tcW w:w="1960" w:type="dxa"/>
            <w:tcBorders>
              <w:top w:val="nil"/>
              <w:left w:val="nil"/>
              <w:bottom w:val="nil"/>
              <w:right w:val="nil"/>
            </w:tcBorders>
            <w:shd w:val="clear" w:color="auto" w:fill="auto"/>
          </w:tcPr>
          <w:p w14:paraId="3C93246D" w14:textId="77777777" w:rsidR="00C67E44" w:rsidRPr="002A48AD" w:rsidRDefault="00C67E44" w:rsidP="004725CE">
            <w:pPr>
              <w:rPr>
                <w:sz w:val="22"/>
                <w:szCs w:val="22"/>
              </w:rPr>
            </w:pPr>
            <w:r w:rsidRPr="002A48AD">
              <w:rPr>
                <w:sz w:val="22"/>
                <w:szCs w:val="22"/>
              </w:rPr>
              <w:t>25.11.</w:t>
            </w:r>
          </w:p>
        </w:tc>
        <w:tc>
          <w:tcPr>
            <w:tcW w:w="7112" w:type="dxa"/>
            <w:tcBorders>
              <w:top w:val="nil"/>
              <w:left w:val="nil"/>
              <w:bottom w:val="nil"/>
              <w:right w:val="nil"/>
            </w:tcBorders>
            <w:shd w:val="clear" w:color="auto" w:fill="auto"/>
          </w:tcPr>
          <w:p w14:paraId="73E94708" w14:textId="77777777" w:rsidR="00C67E44" w:rsidRPr="002A48AD" w:rsidRDefault="00C67E44" w:rsidP="004725CE">
            <w:pPr>
              <w:rPr>
                <w:sz w:val="22"/>
                <w:szCs w:val="22"/>
              </w:rPr>
            </w:pPr>
            <w:r w:rsidRPr="002A48AD">
              <w:rPr>
                <w:sz w:val="22"/>
                <w:szCs w:val="22"/>
              </w:rPr>
              <w:t>Präsidiumssitzung des Städte- und Gemeindebundes NRW, Sitzungsort offen</w:t>
            </w:r>
          </w:p>
        </w:tc>
      </w:tr>
      <w:tr w:rsidR="00C67E44" w:rsidRPr="00F5285D" w14:paraId="5C9BA2A1" w14:textId="77777777" w:rsidTr="004725CE">
        <w:trPr>
          <w:trHeight w:val="300"/>
        </w:trPr>
        <w:tc>
          <w:tcPr>
            <w:tcW w:w="1960" w:type="dxa"/>
            <w:tcBorders>
              <w:top w:val="nil"/>
              <w:left w:val="nil"/>
              <w:bottom w:val="nil"/>
              <w:right w:val="nil"/>
            </w:tcBorders>
            <w:shd w:val="clear" w:color="auto" w:fill="auto"/>
            <w:noWrap/>
            <w:vAlign w:val="center"/>
            <w:hideMark/>
          </w:tcPr>
          <w:p w14:paraId="3C880AB7" w14:textId="77777777" w:rsidR="00C67E44" w:rsidRPr="00F5285D" w:rsidRDefault="00C67E44" w:rsidP="004725CE">
            <w:pPr>
              <w:rPr>
                <w:sz w:val="22"/>
                <w:szCs w:val="22"/>
              </w:rPr>
            </w:pPr>
          </w:p>
        </w:tc>
        <w:tc>
          <w:tcPr>
            <w:tcW w:w="7112" w:type="dxa"/>
            <w:tcBorders>
              <w:top w:val="nil"/>
              <w:left w:val="nil"/>
              <w:bottom w:val="nil"/>
              <w:right w:val="nil"/>
            </w:tcBorders>
            <w:shd w:val="clear" w:color="auto" w:fill="auto"/>
            <w:noWrap/>
            <w:vAlign w:val="center"/>
            <w:hideMark/>
          </w:tcPr>
          <w:p w14:paraId="4A0FD643" w14:textId="77777777" w:rsidR="00C67E44" w:rsidRPr="00F5285D" w:rsidRDefault="00C67E44" w:rsidP="004725CE">
            <w:pPr>
              <w:rPr>
                <w:rFonts w:ascii="Times New Roman" w:hAnsi="Times New Roman" w:cs="Times New Roman"/>
                <w:sz w:val="20"/>
                <w:szCs w:val="20"/>
              </w:rPr>
            </w:pPr>
          </w:p>
        </w:tc>
      </w:tr>
      <w:tr w:rsidR="00C67E44" w:rsidRPr="00F5285D" w14:paraId="239F37B8" w14:textId="77777777" w:rsidTr="004725CE">
        <w:trPr>
          <w:trHeight w:val="300"/>
        </w:trPr>
        <w:tc>
          <w:tcPr>
            <w:tcW w:w="1960" w:type="dxa"/>
            <w:tcBorders>
              <w:top w:val="nil"/>
              <w:left w:val="nil"/>
              <w:bottom w:val="nil"/>
              <w:right w:val="nil"/>
            </w:tcBorders>
            <w:shd w:val="clear" w:color="auto" w:fill="auto"/>
            <w:vAlign w:val="center"/>
            <w:hideMark/>
          </w:tcPr>
          <w:p w14:paraId="59BACF9B" w14:textId="77777777" w:rsidR="00C67E44" w:rsidRPr="00F5285D" w:rsidRDefault="00C67E44" w:rsidP="004725CE">
            <w:pPr>
              <w:rPr>
                <w:sz w:val="22"/>
                <w:szCs w:val="22"/>
              </w:rPr>
            </w:pPr>
            <w:r w:rsidRPr="00F5285D">
              <w:rPr>
                <w:sz w:val="22"/>
                <w:szCs w:val="22"/>
              </w:rPr>
              <w:t>29.11.</w:t>
            </w:r>
          </w:p>
        </w:tc>
        <w:tc>
          <w:tcPr>
            <w:tcW w:w="7112" w:type="dxa"/>
            <w:tcBorders>
              <w:top w:val="nil"/>
              <w:left w:val="nil"/>
              <w:bottom w:val="nil"/>
              <w:right w:val="nil"/>
            </w:tcBorders>
            <w:shd w:val="clear" w:color="auto" w:fill="auto"/>
            <w:vAlign w:val="center"/>
            <w:hideMark/>
          </w:tcPr>
          <w:p w14:paraId="6EBB5455" w14:textId="77777777" w:rsidR="00C67E44" w:rsidRPr="00F5285D" w:rsidRDefault="00C67E44" w:rsidP="004725CE">
            <w:pPr>
              <w:rPr>
                <w:sz w:val="22"/>
                <w:szCs w:val="22"/>
              </w:rPr>
            </w:pPr>
            <w:r w:rsidRPr="00F5285D">
              <w:rPr>
                <w:sz w:val="22"/>
                <w:szCs w:val="22"/>
              </w:rPr>
              <w:t>197. Präsidiumssitzung des Städte- und Gemeindebundes Sachsen-Anhalt</w:t>
            </w:r>
          </w:p>
        </w:tc>
      </w:tr>
      <w:tr w:rsidR="00C67E44" w:rsidRPr="00F5285D" w14:paraId="53BA9372" w14:textId="77777777" w:rsidTr="004725CE">
        <w:trPr>
          <w:trHeight w:val="300"/>
        </w:trPr>
        <w:tc>
          <w:tcPr>
            <w:tcW w:w="1960" w:type="dxa"/>
            <w:tcBorders>
              <w:top w:val="nil"/>
              <w:left w:val="nil"/>
              <w:bottom w:val="nil"/>
              <w:right w:val="nil"/>
            </w:tcBorders>
            <w:shd w:val="clear" w:color="auto" w:fill="auto"/>
            <w:noWrap/>
            <w:vAlign w:val="center"/>
            <w:hideMark/>
          </w:tcPr>
          <w:p w14:paraId="2E29449E" w14:textId="77777777" w:rsidR="00C67E44" w:rsidRPr="00F5285D" w:rsidRDefault="00C67E44" w:rsidP="004725CE">
            <w:pPr>
              <w:rPr>
                <w:sz w:val="22"/>
                <w:szCs w:val="22"/>
              </w:rPr>
            </w:pPr>
          </w:p>
        </w:tc>
        <w:tc>
          <w:tcPr>
            <w:tcW w:w="7112" w:type="dxa"/>
            <w:tcBorders>
              <w:top w:val="nil"/>
              <w:left w:val="nil"/>
              <w:bottom w:val="nil"/>
              <w:right w:val="nil"/>
            </w:tcBorders>
            <w:shd w:val="clear" w:color="auto" w:fill="auto"/>
            <w:noWrap/>
            <w:vAlign w:val="center"/>
            <w:hideMark/>
          </w:tcPr>
          <w:p w14:paraId="003A32C6" w14:textId="77777777" w:rsidR="00C67E44" w:rsidRPr="00F5285D" w:rsidRDefault="00C67E44" w:rsidP="004725CE">
            <w:pPr>
              <w:rPr>
                <w:rFonts w:ascii="Times New Roman" w:hAnsi="Times New Roman" w:cs="Times New Roman"/>
                <w:sz w:val="20"/>
                <w:szCs w:val="20"/>
              </w:rPr>
            </w:pPr>
          </w:p>
        </w:tc>
      </w:tr>
      <w:tr w:rsidR="00C67E44" w:rsidRPr="00F5285D" w14:paraId="10FD0CFA" w14:textId="77777777" w:rsidTr="004725CE">
        <w:trPr>
          <w:trHeight w:val="360"/>
        </w:trPr>
        <w:tc>
          <w:tcPr>
            <w:tcW w:w="1960" w:type="dxa"/>
            <w:tcBorders>
              <w:top w:val="nil"/>
              <w:left w:val="nil"/>
              <w:bottom w:val="nil"/>
              <w:right w:val="nil"/>
            </w:tcBorders>
            <w:shd w:val="clear" w:color="auto" w:fill="auto"/>
            <w:vAlign w:val="center"/>
            <w:hideMark/>
          </w:tcPr>
          <w:p w14:paraId="37B75B20" w14:textId="77777777" w:rsidR="00C67E44" w:rsidRPr="00F5285D" w:rsidRDefault="00C67E44" w:rsidP="004725CE">
            <w:pPr>
              <w:rPr>
                <w:b/>
                <w:bCs/>
                <w:sz w:val="28"/>
                <w:szCs w:val="28"/>
              </w:rPr>
            </w:pPr>
            <w:r w:rsidRPr="00F5285D">
              <w:rPr>
                <w:b/>
                <w:bCs/>
                <w:sz w:val="28"/>
                <w:szCs w:val="28"/>
              </w:rPr>
              <w:t>Dezember</w:t>
            </w:r>
          </w:p>
        </w:tc>
        <w:tc>
          <w:tcPr>
            <w:tcW w:w="7112" w:type="dxa"/>
            <w:tcBorders>
              <w:top w:val="nil"/>
              <w:left w:val="nil"/>
              <w:bottom w:val="nil"/>
              <w:right w:val="nil"/>
            </w:tcBorders>
            <w:shd w:val="clear" w:color="auto" w:fill="auto"/>
            <w:noWrap/>
            <w:vAlign w:val="center"/>
            <w:hideMark/>
          </w:tcPr>
          <w:p w14:paraId="102FB345" w14:textId="77777777" w:rsidR="00C67E44" w:rsidRPr="00F5285D" w:rsidRDefault="00C67E44" w:rsidP="004725CE">
            <w:pPr>
              <w:rPr>
                <w:b/>
                <w:bCs/>
                <w:sz w:val="28"/>
                <w:szCs w:val="28"/>
              </w:rPr>
            </w:pPr>
          </w:p>
        </w:tc>
      </w:tr>
      <w:tr w:rsidR="00C67E44" w:rsidRPr="00F5285D" w14:paraId="11350EF3" w14:textId="77777777" w:rsidTr="004725CE">
        <w:trPr>
          <w:trHeight w:val="300"/>
        </w:trPr>
        <w:tc>
          <w:tcPr>
            <w:tcW w:w="1960" w:type="dxa"/>
            <w:tcBorders>
              <w:top w:val="nil"/>
              <w:left w:val="nil"/>
              <w:bottom w:val="nil"/>
              <w:right w:val="nil"/>
            </w:tcBorders>
            <w:shd w:val="clear" w:color="auto" w:fill="auto"/>
            <w:noWrap/>
            <w:vAlign w:val="center"/>
            <w:hideMark/>
          </w:tcPr>
          <w:p w14:paraId="56E77B0E" w14:textId="77777777" w:rsidR="00C67E44" w:rsidRPr="00F5285D" w:rsidRDefault="00C67E44" w:rsidP="004725CE">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0968B6AF" w14:textId="77777777" w:rsidR="00C67E44" w:rsidRPr="00F5285D" w:rsidRDefault="00C67E44" w:rsidP="004725CE">
            <w:pPr>
              <w:rPr>
                <w:rFonts w:ascii="Times New Roman" w:hAnsi="Times New Roman" w:cs="Times New Roman"/>
                <w:sz w:val="20"/>
                <w:szCs w:val="20"/>
              </w:rPr>
            </w:pPr>
          </w:p>
        </w:tc>
      </w:tr>
      <w:tr w:rsidR="00C67E44" w:rsidRPr="00F5285D" w14:paraId="000FE567" w14:textId="77777777" w:rsidTr="004725CE">
        <w:trPr>
          <w:trHeight w:val="300"/>
        </w:trPr>
        <w:tc>
          <w:tcPr>
            <w:tcW w:w="1960" w:type="dxa"/>
            <w:tcBorders>
              <w:top w:val="nil"/>
              <w:left w:val="nil"/>
              <w:bottom w:val="nil"/>
              <w:right w:val="nil"/>
            </w:tcBorders>
            <w:shd w:val="clear" w:color="auto" w:fill="auto"/>
            <w:vAlign w:val="center"/>
            <w:hideMark/>
          </w:tcPr>
          <w:p w14:paraId="3B8B3CAC" w14:textId="77777777" w:rsidR="00C67E44" w:rsidRPr="00F5285D" w:rsidRDefault="00C67E44" w:rsidP="004725CE">
            <w:pPr>
              <w:rPr>
                <w:sz w:val="22"/>
                <w:szCs w:val="22"/>
              </w:rPr>
            </w:pPr>
            <w:r w:rsidRPr="00F5285D">
              <w:rPr>
                <w:sz w:val="22"/>
                <w:szCs w:val="22"/>
              </w:rPr>
              <w:t>01.12.</w:t>
            </w:r>
          </w:p>
        </w:tc>
        <w:tc>
          <w:tcPr>
            <w:tcW w:w="7112" w:type="dxa"/>
            <w:tcBorders>
              <w:top w:val="nil"/>
              <w:left w:val="nil"/>
              <w:bottom w:val="nil"/>
              <w:right w:val="nil"/>
            </w:tcBorders>
            <w:shd w:val="clear" w:color="auto" w:fill="auto"/>
            <w:vAlign w:val="center"/>
            <w:hideMark/>
          </w:tcPr>
          <w:p w14:paraId="67A35565" w14:textId="77777777" w:rsidR="00C67E44" w:rsidRPr="00F5285D" w:rsidRDefault="00C67E44" w:rsidP="004725CE">
            <w:pPr>
              <w:rPr>
                <w:sz w:val="22"/>
                <w:szCs w:val="22"/>
              </w:rPr>
            </w:pPr>
            <w:r w:rsidRPr="00F5285D">
              <w:rPr>
                <w:sz w:val="22"/>
                <w:szCs w:val="22"/>
              </w:rPr>
              <w:t>Ausschuss für Städtebau und Umwelt des Städteverbandes Schleswig-Holstein</w:t>
            </w:r>
          </w:p>
        </w:tc>
      </w:tr>
      <w:tr w:rsidR="00C67E44" w:rsidRPr="00F5285D" w14:paraId="0CF3C256" w14:textId="77777777" w:rsidTr="004725CE">
        <w:trPr>
          <w:trHeight w:val="300"/>
        </w:trPr>
        <w:tc>
          <w:tcPr>
            <w:tcW w:w="1960" w:type="dxa"/>
            <w:tcBorders>
              <w:top w:val="nil"/>
              <w:left w:val="nil"/>
              <w:bottom w:val="nil"/>
              <w:right w:val="nil"/>
            </w:tcBorders>
            <w:shd w:val="clear" w:color="auto" w:fill="auto"/>
            <w:vAlign w:val="center"/>
            <w:hideMark/>
          </w:tcPr>
          <w:p w14:paraId="7CE04E7F" w14:textId="77777777" w:rsidR="00C67E44" w:rsidRPr="00F5285D" w:rsidRDefault="00C67E44" w:rsidP="004725CE">
            <w:pPr>
              <w:rPr>
                <w:sz w:val="22"/>
                <w:szCs w:val="22"/>
              </w:rPr>
            </w:pPr>
          </w:p>
        </w:tc>
        <w:tc>
          <w:tcPr>
            <w:tcW w:w="7112" w:type="dxa"/>
            <w:tcBorders>
              <w:top w:val="nil"/>
              <w:left w:val="nil"/>
              <w:bottom w:val="nil"/>
              <w:right w:val="nil"/>
            </w:tcBorders>
            <w:shd w:val="clear" w:color="auto" w:fill="auto"/>
            <w:vAlign w:val="center"/>
            <w:hideMark/>
          </w:tcPr>
          <w:p w14:paraId="4430532D" w14:textId="77777777" w:rsidR="00C67E44" w:rsidRPr="00F5285D" w:rsidRDefault="00C67E44" w:rsidP="004725CE">
            <w:pPr>
              <w:rPr>
                <w:rFonts w:ascii="Times New Roman" w:hAnsi="Times New Roman" w:cs="Times New Roman"/>
                <w:sz w:val="20"/>
                <w:szCs w:val="20"/>
              </w:rPr>
            </w:pPr>
          </w:p>
        </w:tc>
      </w:tr>
      <w:tr w:rsidR="00C67E44" w:rsidRPr="00F5285D" w14:paraId="6362A020" w14:textId="77777777" w:rsidTr="004725CE">
        <w:trPr>
          <w:trHeight w:val="300"/>
        </w:trPr>
        <w:tc>
          <w:tcPr>
            <w:tcW w:w="1960" w:type="dxa"/>
            <w:tcBorders>
              <w:top w:val="nil"/>
              <w:left w:val="nil"/>
              <w:bottom w:val="nil"/>
              <w:right w:val="nil"/>
            </w:tcBorders>
            <w:shd w:val="clear" w:color="auto" w:fill="auto"/>
            <w:vAlign w:val="center"/>
            <w:hideMark/>
          </w:tcPr>
          <w:p w14:paraId="7E7320AD" w14:textId="77777777" w:rsidR="00C67E44" w:rsidRPr="00F5285D" w:rsidRDefault="00C67E44" w:rsidP="004725CE">
            <w:pPr>
              <w:rPr>
                <w:sz w:val="22"/>
                <w:szCs w:val="22"/>
              </w:rPr>
            </w:pPr>
            <w:r w:rsidRPr="00F5285D">
              <w:rPr>
                <w:sz w:val="22"/>
                <w:szCs w:val="22"/>
              </w:rPr>
              <w:t>06.12.</w:t>
            </w:r>
          </w:p>
        </w:tc>
        <w:tc>
          <w:tcPr>
            <w:tcW w:w="7112" w:type="dxa"/>
            <w:tcBorders>
              <w:top w:val="nil"/>
              <w:left w:val="nil"/>
              <w:bottom w:val="nil"/>
              <w:right w:val="nil"/>
            </w:tcBorders>
            <w:shd w:val="clear" w:color="auto" w:fill="auto"/>
            <w:vAlign w:val="center"/>
            <w:hideMark/>
          </w:tcPr>
          <w:p w14:paraId="21B978F9" w14:textId="77777777" w:rsidR="00C67E44" w:rsidRPr="00F5285D" w:rsidRDefault="00C67E44" w:rsidP="004725CE">
            <w:pPr>
              <w:rPr>
                <w:sz w:val="22"/>
                <w:szCs w:val="22"/>
              </w:rPr>
            </w:pPr>
            <w:r w:rsidRPr="00F5285D">
              <w:rPr>
                <w:sz w:val="22"/>
                <w:szCs w:val="22"/>
              </w:rPr>
              <w:t>(Geschäftsführender) Vorstand des Städteverbandes Schleswig-Holstein</w:t>
            </w:r>
          </w:p>
        </w:tc>
      </w:tr>
      <w:tr w:rsidR="00C67E44" w:rsidRPr="00F5285D" w14:paraId="439B8AA0" w14:textId="77777777" w:rsidTr="004725CE">
        <w:trPr>
          <w:trHeight w:val="300"/>
        </w:trPr>
        <w:tc>
          <w:tcPr>
            <w:tcW w:w="1960" w:type="dxa"/>
            <w:tcBorders>
              <w:top w:val="nil"/>
              <w:left w:val="nil"/>
              <w:bottom w:val="nil"/>
              <w:right w:val="nil"/>
            </w:tcBorders>
            <w:shd w:val="clear" w:color="auto" w:fill="auto"/>
            <w:vAlign w:val="center"/>
            <w:hideMark/>
          </w:tcPr>
          <w:p w14:paraId="59A5EA41" w14:textId="77777777" w:rsidR="00C67E44" w:rsidRPr="00F5285D" w:rsidRDefault="00C67E44" w:rsidP="004725CE">
            <w:pPr>
              <w:rPr>
                <w:sz w:val="22"/>
                <w:szCs w:val="22"/>
              </w:rPr>
            </w:pPr>
          </w:p>
        </w:tc>
        <w:tc>
          <w:tcPr>
            <w:tcW w:w="7112" w:type="dxa"/>
            <w:tcBorders>
              <w:top w:val="nil"/>
              <w:left w:val="nil"/>
              <w:bottom w:val="nil"/>
              <w:right w:val="nil"/>
            </w:tcBorders>
            <w:shd w:val="clear" w:color="auto" w:fill="auto"/>
            <w:vAlign w:val="center"/>
            <w:hideMark/>
          </w:tcPr>
          <w:p w14:paraId="4D189867" w14:textId="77777777" w:rsidR="00C67E44" w:rsidRPr="00F5285D" w:rsidRDefault="00C67E44" w:rsidP="004725CE">
            <w:pPr>
              <w:rPr>
                <w:rFonts w:ascii="Times New Roman" w:hAnsi="Times New Roman" w:cs="Times New Roman"/>
                <w:sz w:val="20"/>
                <w:szCs w:val="20"/>
              </w:rPr>
            </w:pPr>
          </w:p>
        </w:tc>
      </w:tr>
      <w:tr w:rsidR="00C67E44" w:rsidRPr="00F5285D" w14:paraId="62DB7B3C" w14:textId="77777777" w:rsidTr="004725CE">
        <w:trPr>
          <w:trHeight w:val="570"/>
        </w:trPr>
        <w:tc>
          <w:tcPr>
            <w:tcW w:w="1960" w:type="dxa"/>
            <w:tcBorders>
              <w:top w:val="nil"/>
              <w:left w:val="nil"/>
              <w:bottom w:val="nil"/>
              <w:right w:val="nil"/>
            </w:tcBorders>
            <w:shd w:val="clear" w:color="auto" w:fill="auto"/>
            <w:vAlign w:val="center"/>
            <w:hideMark/>
          </w:tcPr>
          <w:p w14:paraId="4121E27C" w14:textId="77777777" w:rsidR="00C67E44" w:rsidRPr="00F5285D" w:rsidRDefault="00C67E44" w:rsidP="004725CE">
            <w:pPr>
              <w:rPr>
                <w:sz w:val="22"/>
                <w:szCs w:val="22"/>
              </w:rPr>
            </w:pPr>
            <w:r w:rsidRPr="00F5285D">
              <w:rPr>
                <w:sz w:val="22"/>
                <w:szCs w:val="22"/>
              </w:rPr>
              <w:t>06.12.</w:t>
            </w:r>
          </w:p>
        </w:tc>
        <w:tc>
          <w:tcPr>
            <w:tcW w:w="7112" w:type="dxa"/>
            <w:tcBorders>
              <w:top w:val="nil"/>
              <w:left w:val="nil"/>
              <w:bottom w:val="nil"/>
              <w:right w:val="nil"/>
            </w:tcBorders>
            <w:shd w:val="clear" w:color="auto" w:fill="auto"/>
            <w:vAlign w:val="center"/>
            <w:hideMark/>
          </w:tcPr>
          <w:p w14:paraId="4BFA7807" w14:textId="77777777" w:rsidR="00C67E44" w:rsidRPr="00F5285D" w:rsidRDefault="00C67E44" w:rsidP="004725CE">
            <w:pPr>
              <w:rPr>
                <w:sz w:val="22"/>
                <w:szCs w:val="22"/>
              </w:rPr>
            </w:pPr>
            <w:r w:rsidRPr="00F5285D">
              <w:rPr>
                <w:sz w:val="22"/>
                <w:szCs w:val="22"/>
              </w:rPr>
              <w:t>Gemeinsame Vorstandssitzung des Städtebundes und des Städtetags Schleswig-Holstein (=Mitgliederversammlung des Städteverbandes Schleswig-Holstein)</w:t>
            </w:r>
          </w:p>
        </w:tc>
      </w:tr>
      <w:tr w:rsidR="00C67E44" w:rsidRPr="00F5285D" w14:paraId="77741AFF" w14:textId="77777777" w:rsidTr="004725CE">
        <w:trPr>
          <w:trHeight w:val="300"/>
        </w:trPr>
        <w:tc>
          <w:tcPr>
            <w:tcW w:w="1960" w:type="dxa"/>
            <w:tcBorders>
              <w:top w:val="nil"/>
              <w:left w:val="nil"/>
              <w:bottom w:val="nil"/>
              <w:right w:val="nil"/>
            </w:tcBorders>
            <w:shd w:val="clear" w:color="auto" w:fill="auto"/>
            <w:vAlign w:val="center"/>
            <w:hideMark/>
          </w:tcPr>
          <w:p w14:paraId="19138CB5" w14:textId="77777777" w:rsidR="00C67E44" w:rsidRPr="00F5285D" w:rsidRDefault="00C67E44" w:rsidP="004725CE">
            <w:pPr>
              <w:rPr>
                <w:sz w:val="22"/>
                <w:szCs w:val="22"/>
              </w:rPr>
            </w:pPr>
          </w:p>
        </w:tc>
        <w:tc>
          <w:tcPr>
            <w:tcW w:w="7112" w:type="dxa"/>
            <w:tcBorders>
              <w:top w:val="nil"/>
              <w:left w:val="nil"/>
              <w:bottom w:val="nil"/>
              <w:right w:val="nil"/>
            </w:tcBorders>
            <w:shd w:val="clear" w:color="auto" w:fill="auto"/>
            <w:vAlign w:val="center"/>
            <w:hideMark/>
          </w:tcPr>
          <w:p w14:paraId="1E09C26A" w14:textId="77777777" w:rsidR="00C67E44" w:rsidRPr="00F5285D" w:rsidRDefault="00C67E44" w:rsidP="004725CE">
            <w:pPr>
              <w:rPr>
                <w:rFonts w:ascii="Times New Roman" w:hAnsi="Times New Roman" w:cs="Times New Roman"/>
                <w:sz w:val="20"/>
                <w:szCs w:val="20"/>
              </w:rPr>
            </w:pPr>
          </w:p>
        </w:tc>
      </w:tr>
      <w:tr w:rsidR="00C67E44" w:rsidRPr="00F5285D" w14:paraId="39775933" w14:textId="77777777" w:rsidTr="004725CE">
        <w:trPr>
          <w:trHeight w:val="300"/>
        </w:trPr>
        <w:tc>
          <w:tcPr>
            <w:tcW w:w="1960" w:type="dxa"/>
            <w:tcBorders>
              <w:top w:val="nil"/>
              <w:left w:val="nil"/>
              <w:bottom w:val="nil"/>
              <w:right w:val="nil"/>
            </w:tcBorders>
            <w:shd w:val="clear" w:color="auto" w:fill="auto"/>
            <w:vAlign w:val="center"/>
            <w:hideMark/>
          </w:tcPr>
          <w:p w14:paraId="3C3C9535" w14:textId="77777777" w:rsidR="00C67E44" w:rsidRPr="00F5285D" w:rsidRDefault="00C67E44" w:rsidP="004725CE">
            <w:pPr>
              <w:rPr>
                <w:sz w:val="22"/>
                <w:szCs w:val="22"/>
              </w:rPr>
            </w:pPr>
            <w:r w:rsidRPr="00F5285D">
              <w:rPr>
                <w:sz w:val="22"/>
                <w:szCs w:val="22"/>
              </w:rPr>
              <w:t>09.12.</w:t>
            </w:r>
          </w:p>
        </w:tc>
        <w:tc>
          <w:tcPr>
            <w:tcW w:w="7112" w:type="dxa"/>
            <w:tcBorders>
              <w:top w:val="nil"/>
              <w:left w:val="nil"/>
              <w:bottom w:val="nil"/>
              <w:right w:val="nil"/>
            </w:tcBorders>
            <w:shd w:val="clear" w:color="auto" w:fill="auto"/>
            <w:vAlign w:val="center"/>
            <w:hideMark/>
          </w:tcPr>
          <w:p w14:paraId="7B34F3BB" w14:textId="77777777" w:rsidR="00C67E44" w:rsidRPr="00F5285D" w:rsidRDefault="00C67E44" w:rsidP="004725CE">
            <w:pPr>
              <w:rPr>
                <w:sz w:val="22"/>
                <w:szCs w:val="22"/>
              </w:rPr>
            </w:pPr>
            <w:r w:rsidRPr="00F5285D">
              <w:rPr>
                <w:sz w:val="22"/>
                <w:szCs w:val="22"/>
              </w:rPr>
              <w:t>Präsidiumssitzung des Hessischen Städte- und Gemeindebundes, Fernwald</w:t>
            </w:r>
          </w:p>
        </w:tc>
      </w:tr>
      <w:tr w:rsidR="00C67E44" w:rsidRPr="00F5285D" w14:paraId="749C85ED" w14:textId="77777777" w:rsidTr="004725CE">
        <w:trPr>
          <w:trHeight w:val="300"/>
        </w:trPr>
        <w:tc>
          <w:tcPr>
            <w:tcW w:w="1960" w:type="dxa"/>
            <w:tcBorders>
              <w:top w:val="nil"/>
              <w:left w:val="nil"/>
              <w:bottom w:val="nil"/>
              <w:right w:val="nil"/>
            </w:tcBorders>
            <w:shd w:val="clear" w:color="auto" w:fill="auto"/>
            <w:noWrap/>
            <w:vAlign w:val="center"/>
            <w:hideMark/>
          </w:tcPr>
          <w:p w14:paraId="32A5D491" w14:textId="77777777" w:rsidR="00C67E44" w:rsidRPr="00F5285D" w:rsidRDefault="00C67E44" w:rsidP="004725CE">
            <w:pPr>
              <w:rPr>
                <w:sz w:val="22"/>
                <w:szCs w:val="22"/>
              </w:rPr>
            </w:pPr>
          </w:p>
        </w:tc>
        <w:tc>
          <w:tcPr>
            <w:tcW w:w="7112" w:type="dxa"/>
            <w:tcBorders>
              <w:top w:val="nil"/>
              <w:left w:val="nil"/>
              <w:bottom w:val="nil"/>
              <w:right w:val="nil"/>
            </w:tcBorders>
            <w:shd w:val="clear" w:color="auto" w:fill="auto"/>
            <w:noWrap/>
            <w:vAlign w:val="center"/>
            <w:hideMark/>
          </w:tcPr>
          <w:p w14:paraId="1ED88CC1" w14:textId="77777777" w:rsidR="00C67E44" w:rsidRPr="00F5285D" w:rsidRDefault="00C67E44" w:rsidP="004725CE">
            <w:pPr>
              <w:rPr>
                <w:rFonts w:ascii="Times New Roman" w:hAnsi="Times New Roman" w:cs="Times New Roman"/>
                <w:sz w:val="20"/>
                <w:szCs w:val="20"/>
              </w:rPr>
            </w:pPr>
          </w:p>
        </w:tc>
      </w:tr>
      <w:tr w:rsidR="00C67E44" w:rsidRPr="00F5285D" w14:paraId="1661D989" w14:textId="77777777" w:rsidTr="004725CE">
        <w:trPr>
          <w:trHeight w:val="360"/>
        </w:trPr>
        <w:tc>
          <w:tcPr>
            <w:tcW w:w="1960" w:type="dxa"/>
            <w:tcBorders>
              <w:top w:val="nil"/>
              <w:left w:val="nil"/>
              <w:bottom w:val="nil"/>
              <w:right w:val="nil"/>
            </w:tcBorders>
            <w:shd w:val="clear" w:color="auto" w:fill="auto"/>
            <w:vAlign w:val="center"/>
            <w:hideMark/>
          </w:tcPr>
          <w:p w14:paraId="33CACFAE" w14:textId="77777777" w:rsidR="00C67E44" w:rsidRPr="00F5285D" w:rsidRDefault="00C67E44" w:rsidP="004725CE">
            <w:pPr>
              <w:rPr>
                <w:b/>
                <w:bCs/>
                <w:sz w:val="28"/>
                <w:szCs w:val="28"/>
              </w:rPr>
            </w:pPr>
            <w:r w:rsidRPr="00F5285D">
              <w:rPr>
                <w:b/>
                <w:bCs/>
                <w:sz w:val="28"/>
                <w:szCs w:val="28"/>
              </w:rPr>
              <w:t>2022</w:t>
            </w:r>
          </w:p>
        </w:tc>
        <w:tc>
          <w:tcPr>
            <w:tcW w:w="7112" w:type="dxa"/>
            <w:tcBorders>
              <w:top w:val="nil"/>
              <w:left w:val="nil"/>
              <w:bottom w:val="nil"/>
              <w:right w:val="nil"/>
            </w:tcBorders>
            <w:shd w:val="clear" w:color="auto" w:fill="auto"/>
            <w:noWrap/>
            <w:vAlign w:val="center"/>
            <w:hideMark/>
          </w:tcPr>
          <w:p w14:paraId="068E2659" w14:textId="77777777" w:rsidR="00C67E44" w:rsidRPr="00F5285D" w:rsidRDefault="00C67E44" w:rsidP="004725CE">
            <w:pPr>
              <w:rPr>
                <w:b/>
                <w:bCs/>
                <w:sz w:val="28"/>
                <w:szCs w:val="28"/>
              </w:rPr>
            </w:pPr>
          </w:p>
        </w:tc>
      </w:tr>
      <w:tr w:rsidR="00C67E44" w:rsidRPr="00F5285D" w14:paraId="16285F4F" w14:textId="77777777" w:rsidTr="004725CE">
        <w:trPr>
          <w:trHeight w:val="300"/>
        </w:trPr>
        <w:tc>
          <w:tcPr>
            <w:tcW w:w="1960" w:type="dxa"/>
            <w:tcBorders>
              <w:top w:val="nil"/>
              <w:left w:val="nil"/>
              <w:bottom w:val="nil"/>
              <w:right w:val="nil"/>
            </w:tcBorders>
            <w:shd w:val="clear" w:color="auto" w:fill="auto"/>
            <w:noWrap/>
            <w:vAlign w:val="center"/>
            <w:hideMark/>
          </w:tcPr>
          <w:p w14:paraId="42E30EE6" w14:textId="77777777" w:rsidR="00C67E44" w:rsidRPr="00F5285D" w:rsidRDefault="00C67E44" w:rsidP="004725CE">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1BBF54E4" w14:textId="77777777" w:rsidR="00C67E44" w:rsidRPr="00F5285D" w:rsidRDefault="00C67E44" w:rsidP="004725CE">
            <w:pPr>
              <w:rPr>
                <w:rFonts w:ascii="Times New Roman" w:hAnsi="Times New Roman" w:cs="Times New Roman"/>
                <w:sz w:val="20"/>
                <w:szCs w:val="20"/>
              </w:rPr>
            </w:pPr>
          </w:p>
        </w:tc>
      </w:tr>
      <w:tr w:rsidR="00C67E44" w:rsidRPr="00F5285D" w14:paraId="7C218F02" w14:textId="77777777" w:rsidTr="004725CE">
        <w:trPr>
          <w:trHeight w:val="300"/>
        </w:trPr>
        <w:tc>
          <w:tcPr>
            <w:tcW w:w="1960" w:type="dxa"/>
            <w:tcBorders>
              <w:top w:val="nil"/>
              <w:left w:val="nil"/>
              <w:bottom w:val="nil"/>
              <w:right w:val="nil"/>
            </w:tcBorders>
            <w:shd w:val="clear" w:color="auto" w:fill="auto"/>
            <w:vAlign w:val="center"/>
            <w:hideMark/>
          </w:tcPr>
          <w:p w14:paraId="25DD212F" w14:textId="77777777" w:rsidR="00C67E44" w:rsidRPr="00F5285D" w:rsidRDefault="00C67E44" w:rsidP="004725CE">
            <w:pPr>
              <w:rPr>
                <w:b/>
                <w:bCs/>
                <w:sz w:val="22"/>
                <w:szCs w:val="22"/>
              </w:rPr>
            </w:pPr>
            <w:r w:rsidRPr="00F5285D">
              <w:rPr>
                <w:b/>
                <w:bCs/>
                <w:sz w:val="22"/>
                <w:szCs w:val="22"/>
              </w:rPr>
              <w:t>24./25.03.</w:t>
            </w:r>
          </w:p>
        </w:tc>
        <w:tc>
          <w:tcPr>
            <w:tcW w:w="7112" w:type="dxa"/>
            <w:tcBorders>
              <w:top w:val="nil"/>
              <w:left w:val="nil"/>
              <w:bottom w:val="nil"/>
              <w:right w:val="nil"/>
            </w:tcBorders>
            <w:shd w:val="clear" w:color="auto" w:fill="auto"/>
            <w:vAlign w:val="center"/>
            <w:hideMark/>
          </w:tcPr>
          <w:p w14:paraId="2F4EC67E" w14:textId="77777777" w:rsidR="00C67E44" w:rsidRPr="00F5285D" w:rsidRDefault="00C67E44" w:rsidP="004725CE">
            <w:pPr>
              <w:rPr>
                <w:b/>
                <w:bCs/>
                <w:sz w:val="22"/>
                <w:szCs w:val="22"/>
              </w:rPr>
            </w:pPr>
            <w:r w:rsidRPr="00F5285D">
              <w:rPr>
                <w:b/>
                <w:bCs/>
                <w:sz w:val="22"/>
                <w:szCs w:val="22"/>
              </w:rPr>
              <w:t xml:space="preserve">Ordentliche Delegiertenversammlung des RGRE-DS, Sitzungsort offen </w:t>
            </w:r>
          </w:p>
        </w:tc>
      </w:tr>
      <w:tr w:rsidR="00C67E44" w:rsidRPr="00F5285D" w14:paraId="24EEDB8F" w14:textId="77777777" w:rsidTr="004725CE">
        <w:trPr>
          <w:trHeight w:val="300"/>
        </w:trPr>
        <w:tc>
          <w:tcPr>
            <w:tcW w:w="1960" w:type="dxa"/>
            <w:tcBorders>
              <w:top w:val="nil"/>
              <w:left w:val="nil"/>
              <w:bottom w:val="nil"/>
              <w:right w:val="nil"/>
            </w:tcBorders>
            <w:shd w:val="clear" w:color="auto" w:fill="auto"/>
            <w:noWrap/>
            <w:vAlign w:val="center"/>
            <w:hideMark/>
          </w:tcPr>
          <w:p w14:paraId="2E784B9E" w14:textId="77777777" w:rsidR="00C67E44" w:rsidRPr="00F5285D" w:rsidRDefault="00C67E44" w:rsidP="004725CE">
            <w:pPr>
              <w:rPr>
                <w:b/>
                <w:bCs/>
                <w:sz w:val="22"/>
                <w:szCs w:val="22"/>
              </w:rPr>
            </w:pPr>
          </w:p>
        </w:tc>
        <w:tc>
          <w:tcPr>
            <w:tcW w:w="7112" w:type="dxa"/>
            <w:tcBorders>
              <w:top w:val="nil"/>
              <w:left w:val="nil"/>
              <w:bottom w:val="nil"/>
              <w:right w:val="nil"/>
            </w:tcBorders>
            <w:shd w:val="clear" w:color="auto" w:fill="auto"/>
            <w:noWrap/>
            <w:vAlign w:val="center"/>
            <w:hideMark/>
          </w:tcPr>
          <w:p w14:paraId="57F9CB08" w14:textId="77777777" w:rsidR="00C67E44" w:rsidRPr="00F5285D" w:rsidRDefault="00C67E44" w:rsidP="004725CE">
            <w:pPr>
              <w:rPr>
                <w:rFonts w:ascii="Times New Roman" w:hAnsi="Times New Roman" w:cs="Times New Roman"/>
                <w:sz w:val="20"/>
                <w:szCs w:val="20"/>
              </w:rPr>
            </w:pPr>
          </w:p>
        </w:tc>
      </w:tr>
      <w:tr w:rsidR="00C67E44" w:rsidRPr="00F5285D" w14:paraId="3857891D" w14:textId="77777777" w:rsidTr="004725CE">
        <w:trPr>
          <w:trHeight w:val="300"/>
        </w:trPr>
        <w:tc>
          <w:tcPr>
            <w:tcW w:w="1960" w:type="dxa"/>
            <w:tcBorders>
              <w:top w:val="nil"/>
              <w:left w:val="nil"/>
              <w:bottom w:val="nil"/>
              <w:right w:val="nil"/>
            </w:tcBorders>
            <w:shd w:val="clear" w:color="auto" w:fill="auto"/>
            <w:vAlign w:val="center"/>
            <w:hideMark/>
          </w:tcPr>
          <w:p w14:paraId="7A69B4C4" w14:textId="77777777" w:rsidR="00C67E44" w:rsidRPr="00F5285D" w:rsidRDefault="00C67E44" w:rsidP="004725CE">
            <w:pPr>
              <w:rPr>
                <w:b/>
                <w:bCs/>
                <w:sz w:val="22"/>
                <w:szCs w:val="22"/>
              </w:rPr>
            </w:pPr>
            <w:r w:rsidRPr="00F5285D">
              <w:rPr>
                <w:b/>
                <w:bCs/>
                <w:sz w:val="22"/>
                <w:szCs w:val="22"/>
              </w:rPr>
              <w:t>27./28.06.</w:t>
            </w:r>
          </w:p>
        </w:tc>
        <w:tc>
          <w:tcPr>
            <w:tcW w:w="7112" w:type="dxa"/>
            <w:tcBorders>
              <w:top w:val="nil"/>
              <w:left w:val="nil"/>
              <w:bottom w:val="nil"/>
              <w:right w:val="nil"/>
            </w:tcBorders>
            <w:shd w:val="clear" w:color="auto" w:fill="auto"/>
            <w:noWrap/>
            <w:vAlign w:val="bottom"/>
            <w:hideMark/>
          </w:tcPr>
          <w:p w14:paraId="4448CFC5" w14:textId="77777777" w:rsidR="00C67E44" w:rsidRPr="00F5285D" w:rsidRDefault="00C67E44" w:rsidP="004725CE">
            <w:pPr>
              <w:rPr>
                <w:b/>
                <w:bCs/>
                <w:color w:val="000000"/>
                <w:sz w:val="22"/>
                <w:szCs w:val="22"/>
              </w:rPr>
            </w:pPr>
            <w:r w:rsidRPr="00F5285D">
              <w:rPr>
                <w:b/>
                <w:bCs/>
                <w:color w:val="000000"/>
                <w:sz w:val="22"/>
                <w:szCs w:val="22"/>
              </w:rPr>
              <w:t>Deutscher Kommunalkongress des DStGB, Berlin</w:t>
            </w:r>
          </w:p>
        </w:tc>
      </w:tr>
    </w:tbl>
    <w:p w14:paraId="1134017E" w14:textId="77777777" w:rsidR="007C7830" w:rsidRDefault="007C7830" w:rsidP="00630EEA">
      <w:pPr>
        <w:rPr>
          <w:sz w:val="22"/>
          <w:szCs w:val="22"/>
        </w:rPr>
      </w:pPr>
    </w:p>
    <w:p w14:paraId="1329FE17" w14:textId="77777777" w:rsidR="00A80A1F" w:rsidRPr="00547E93" w:rsidRDefault="00A80A1F" w:rsidP="00630EEA">
      <w:pPr>
        <w:rPr>
          <w:sz w:val="22"/>
          <w:szCs w:val="22"/>
        </w:rPr>
      </w:pPr>
    </w:p>
    <w:p w14:paraId="4D057E7D" w14:textId="77777777" w:rsidR="00863C04" w:rsidRDefault="00D40A51" w:rsidP="00630EEA">
      <w:pPr>
        <w:rPr>
          <w:sz w:val="20"/>
        </w:rPr>
      </w:pPr>
      <w:r w:rsidRPr="00547E93">
        <w:rPr>
          <w:sz w:val="20"/>
        </w:rPr>
        <w:t>► Neuer Termin seit der letzten Veröffentlichung</w:t>
      </w:r>
    </w:p>
    <w:p w14:paraId="66D25BD9" w14:textId="77777777" w:rsidR="00FB5ACF" w:rsidRDefault="00FB5ACF" w:rsidP="00630EEA">
      <w:pPr>
        <w:rPr>
          <w:sz w:val="20"/>
        </w:rPr>
      </w:pPr>
    </w:p>
    <w:p w14:paraId="2F1A76E3" w14:textId="77777777" w:rsidR="0028439B" w:rsidRPr="0028439B" w:rsidRDefault="00462B02" w:rsidP="0028439B">
      <w:pPr>
        <w:jc w:val="right"/>
        <w:rPr>
          <w:b/>
          <w:sz w:val="18"/>
        </w:rPr>
      </w:pPr>
      <w:hyperlink w:anchor="_top" w:history="1">
        <w:r w:rsidR="0028439B" w:rsidRPr="0028439B">
          <w:rPr>
            <w:rStyle w:val="Hyperlink"/>
            <w:b/>
            <w:color w:val="auto"/>
            <w:sz w:val="18"/>
          </w:rPr>
          <w:t>Inhaltsverzeichnis</w:t>
        </w:r>
      </w:hyperlink>
    </w:p>
    <w:sectPr w:rsidR="0028439B" w:rsidRPr="0028439B" w:rsidSect="00095B15">
      <w:footerReference w:type="default" r:id="rId39"/>
      <w:headerReference w:type="first" r:id="rId40"/>
      <w:footerReference w:type="first" r:id="rId41"/>
      <w:pgSz w:w="11907" w:h="16840" w:code="9"/>
      <w:pgMar w:top="1418" w:right="1418"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A79C9" w14:textId="77777777" w:rsidR="004725CE" w:rsidRDefault="004725CE">
      <w:r>
        <w:separator/>
      </w:r>
    </w:p>
  </w:endnote>
  <w:endnote w:type="continuationSeparator" w:id="0">
    <w:p w14:paraId="064A39F0" w14:textId="77777777" w:rsidR="004725CE" w:rsidRDefault="0047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0F6D5" w14:textId="77777777" w:rsidR="004725CE" w:rsidRDefault="004725CE">
    <w:pPr>
      <w:pStyle w:val="Fuzeile"/>
    </w:pPr>
    <w:r>
      <w:rPr>
        <w:sz w:val="16"/>
      </w:rPr>
      <w:t>DStGB Aktuell 2721 vom 9. Juli 2021</w:t>
    </w:r>
    <w:r>
      <w:rPr>
        <w:sz w:val="16"/>
      </w:rPr>
      <w:tab/>
    </w:r>
    <w:r>
      <w:rPr>
        <w:sz w:val="16"/>
      </w:rPr>
      <w:tab/>
    </w:r>
    <w:r>
      <w:rPr>
        <w:rStyle w:val="Seitenzahl"/>
        <w:sz w:val="16"/>
      </w:rPr>
      <w:fldChar w:fldCharType="begin"/>
    </w:r>
    <w:r>
      <w:rPr>
        <w:rStyle w:val="Seitenzahl"/>
        <w:sz w:val="16"/>
      </w:rPr>
      <w:instrText xml:space="preserve"> PAGE </w:instrText>
    </w:r>
    <w:r>
      <w:rPr>
        <w:rStyle w:val="Seitenzahl"/>
        <w:sz w:val="16"/>
      </w:rPr>
      <w:fldChar w:fldCharType="separate"/>
    </w:r>
    <w:r w:rsidR="00576317">
      <w:rPr>
        <w:rStyle w:val="Seitenzahl"/>
        <w:noProof/>
        <w:sz w:val="16"/>
      </w:rPr>
      <w:t>20</w:t>
    </w:r>
    <w:r>
      <w:rPr>
        <w:rStyle w:val="Seitenzah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6341" w:type="dxa"/>
      <w:jc w:val="center"/>
      <w:tblLayout w:type="fixed"/>
      <w:tblCellMar>
        <w:left w:w="70" w:type="dxa"/>
        <w:right w:w="70" w:type="dxa"/>
      </w:tblCellMar>
      <w:tblLook w:val="04A0" w:firstRow="1" w:lastRow="0" w:firstColumn="1" w:lastColumn="0" w:noHBand="0" w:noVBand="1"/>
    </w:tblPr>
    <w:tblGrid>
      <w:gridCol w:w="1805"/>
      <w:gridCol w:w="2731"/>
      <w:gridCol w:w="1805"/>
    </w:tblGrid>
    <w:tr w:rsidR="004725CE" w:rsidRPr="009E6916" w14:paraId="4EC20FEE" w14:textId="77777777" w:rsidTr="004A60EC">
      <w:trPr>
        <w:trHeight w:val="255"/>
        <w:jc w:val="center"/>
      </w:trPr>
      <w:tc>
        <w:tcPr>
          <w:tcW w:w="1805" w:type="dxa"/>
          <w:tcBorders>
            <w:top w:val="nil"/>
            <w:left w:val="nil"/>
            <w:bottom w:val="nil"/>
            <w:right w:val="nil"/>
          </w:tcBorders>
          <w:shd w:val="clear" w:color="auto" w:fill="auto"/>
          <w:noWrap/>
          <w:hideMark/>
        </w:tcPr>
        <w:p w14:paraId="16E36079" w14:textId="77777777" w:rsidR="004725CE" w:rsidRPr="009E6916" w:rsidRDefault="004725CE" w:rsidP="004A60EC">
          <w:pPr>
            <w:rPr>
              <w:sz w:val="16"/>
              <w:szCs w:val="16"/>
            </w:rPr>
          </w:pPr>
          <w:r w:rsidRPr="009E6916">
            <w:rPr>
              <w:sz w:val="16"/>
              <w:szCs w:val="16"/>
            </w:rPr>
            <w:t>Marienstraße 6</w:t>
          </w:r>
          <w:r>
            <w:rPr>
              <w:sz w:val="16"/>
              <w:szCs w:val="16"/>
            </w:rPr>
            <w:br/>
          </w:r>
          <w:r w:rsidRPr="009E6916">
            <w:rPr>
              <w:sz w:val="16"/>
              <w:szCs w:val="16"/>
            </w:rPr>
            <w:t>12207 Berlin</w:t>
          </w:r>
        </w:p>
      </w:tc>
      <w:tc>
        <w:tcPr>
          <w:tcW w:w="2731" w:type="dxa"/>
          <w:tcBorders>
            <w:top w:val="nil"/>
            <w:left w:val="nil"/>
            <w:bottom w:val="nil"/>
            <w:right w:val="nil"/>
          </w:tcBorders>
          <w:shd w:val="clear" w:color="auto" w:fill="auto"/>
          <w:noWrap/>
          <w:hideMark/>
        </w:tcPr>
        <w:p w14:paraId="2BF8B5CF" w14:textId="77777777" w:rsidR="004725CE" w:rsidRPr="009E6916" w:rsidRDefault="004725CE" w:rsidP="004A60EC">
          <w:pPr>
            <w:rPr>
              <w:sz w:val="16"/>
              <w:szCs w:val="16"/>
            </w:rPr>
          </w:pPr>
          <w:r w:rsidRPr="009E6916">
            <w:rPr>
              <w:sz w:val="16"/>
              <w:szCs w:val="16"/>
            </w:rPr>
            <w:t>Telefon: 030-77307-0</w:t>
          </w:r>
          <w:r>
            <w:rPr>
              <w:sz w:val="16"/>
              <w:szCs w:val="16"/>
            </w:rPr>
            <w:br/>
          </w:r>
          <w:r w:rsidRPr="009E6916">
            <w:rPr>
              <w:sz w:val="16"/>
              <w:szCs w:val="16"/>
            </w:rPr>
            <w:t>Telefax: 030-77307.200</w:t>
          </w:r>
          <w:r>
            <w:rPr>
              <w:sz w:val="16"/>
              <w:szCs w:val="16"/>
            </w:rPr>
            <w:br/>
            <w:t>E</w:t>
          </w:r>
          <w:r w:rsidRPr="009E6916">
            <w:rPr>
              <w:sz w:val="16"/>
              <w:szCs w:val="16"/>
            </w:rPr>
            <w:t>-</w:t>
          </w:r>
          <w:r>
            <w:rPr>
              <w:sz w:val="16"/>
              <w:szCs w:val="16"/>
            </w:rPr>
            <w:t>M</w:t>
          </w:r>
          <w:r w:rsidRPr="009E6916">
            <w:rPr>
              <w:sz w:val="16"/>
              <w:szCs w:val="16"/>
            </w:rPr>
            <w:t xml:space="preserve">ail: </w:t>
          </w:r>
          <w:hyperlink r:id="rId1" w:history="1">
            <w:r w:rsidRPr="004A60EC">
              <w:rPr>
                <w:rStyle w:val="Hyperlink"/>
                <w:color w:val="auto"/>
                <w:sz w:val="16"/>
                <w:szCs w:val="16"/>
              </w:rPr>
              <w:t>dstgb@dstgb.de</w:t>
            </w:r>
          </w:hyperlink>
          <w:r>
            <w:rPr>
              <w:sz w:val="16"/>
              <w:szCs w:val="16"/>
            </w:rPr>
            <w:br/>
          </w:r>
          <w:r>
            <w:rPr>
              <w:sz w:val="16"/>
              <w:szCs w:val="16"/>
              <w:u w:val="single"/>
            </w:rPr>
            <w:t xml:space="preserve">Homepage: </w:t>
          </w:r>
          <w:hyperlink r:id="rId2" w:history="1">
            <w:r w:rsidRPr="004A60EC">
              <w:rPr>
                <w:sz w:val="16"/>
                <w:szCs w:val="16"/>
                <w:u w:val="single"/>
              </w:rPr>
              <w:t>www.dstgb.de</w:t>
            </w:r>
          </w:hyperlink>
        </w:p>
      </w:tc>
      <w:tc>
        <w:tcPr>
          <w:tcW w:w="1805" w:type="dxa"/>
          <w:tcBorders>
            <w:top w:val="nil"/>
            <w:left w:val="nil"/>
            <w:bottom w:val="nil"/>
            <w:right w:val="nil"/>
          </w:tcBorders>
          <w:shd w:val="clear" w:color="auto" w:fill="auto"/>
          <w:noWrap/>
          <w:hideMark/>
        </w:tcPr>
        <w:p w14:paraId="7F639459" w14:textId="77777777" w:rsidR="004725CE" w:rsidRPr="004A60EC" w:rsidRDefault="004725CE" w:rsidP="004A60EC">
          <w:pPr>
            <w:rPr>
              <w:sz w:val="16"/>
              <w:szCs w:val="16"/>
            </w:rPr>
          </w:pPr>
          <w:r w:rsidRPr="004A60EC">
            <w:rPr>
              <w:bCs/>
              <w:sz w:val="16"/>
              <w:szCs w:val="16"/>
            </w:rPr>
            <w:t>ViSdP</w:t>
          </w:r>
          <w:r>
            <w:rPr>
              <w:b/>
              <w:bCs/>
              <w:sz w:val="16"/>
              <w:szCs w:val="16"/>
            </w:rPr>
            <w:br/>
          </w:r>
          <w:r w:rsidRPr="009E6916">
            <w:rPr>
              <w:b/>
              <w:bCs/>
              <w:sz w:val="16"/>
              <w:szCs w:val="16"/>
            </w:rPr>
            <w:t>Dr. Gerd Landsberg</w:t>
          </w:r>
          <w:r>
            <w:rPr>
              <w:b/>
              <w:bCs/>
              <w:sz w:val="16"/>
              <w:szCs w:val="16"/>
            </w:rPr>
            <w:br/>
          </w:r>
          <w:r w:rsidRPr="004A60EC">
            <w:rPr>
              <w:sz w:val="16"/>
              <w:szCs w:val="16"/>
            </w:rPr>
            <w:t xml:space="preserve">Geschäftsführendes </w:t>
          </w:r>
        </w:p>
        <w:p w14:paraId="2A3F057B" w14:textId="77777777" w:rsidR="004725CE" w:rsidRPr="009E6916" w:rsidRDefault="004725CE" w:rsidP="004A60EC">
          <w:pPr>
            <w:rPr>
              <w:sz w:val="16"/>
              <w:szCs w:val="16"/>
            </w:rPr>
          </w:pPr>
          <w:r w:rsidRPr="004A60EC">
            <w:rPr>
              <w:sz w:val="16"/>
              <w:szCs w:val="16"/>
            </w:rPr>
            <w:t>Präsidialmitglied</w:t>
          </w:r>
        </w:p>
      </w:tc>
    </w:tr>
  </w:tbl>
  <w:p w14:paraId="05EA0BE9" w14:textId="77777777" w:rsidR="004725CE" w:rsidRDefault="004725CE" w:rsidP="009E6916">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0CC0F" w14:textId="77777777" w:rsidR="004725CE" w:rsidRDefault="004725CE">
      <w:r>
        <w:separator/>
      </w:r>
    </w:p>
  </w:footnote>
  <w:footnote w:type="continuationSeparator" w:id="0">
    <w:p w14:paraId="6B40A5E0" w14:textId="77777777" w:rsidR="004725CE" w:rsidRDefault="00472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A8CBD" w14:textId="77777777" w:rsidR="004725CE" w:rsidRDefault="004725CE" w:rsidP="00E00F8E">
    <w:pPr>
      <w:pStyle w:val="Textkrper"/>
      <w:kinsoku w:val="0"/>
      <w:overflowPunct w:val="0"/>
      <w:jc w:val="right"/>
    </w:pPr>
    <w:r w:rsidRPr="005A22BE">
      <w:rPr>
        <w:noProof/>
      </w:rPr>
      <w:drawing>
        <wp:inline distT="0" distB="0" distL="0" distR="0" wp14:anchorId="38645FDE" wp14:editId="7DBE8A08">
          <wp:extent cx="2571750" cy="1125141"/>
          <wp:effectExtent l="0" t="0" r="0" b="0"/>
          <wp:docPr id="1" name="Grafik 1" descr="C:\Users\wissen\AppData\Local\Microsoft\Windows\INetCache\Content.Outlook\YQK1SK2T\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ssen\AppData\Local\Microsoft\Windows\INetCache\Content.Outlook\YQK1SK2T\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1593" cy="1133822"/>
                  </a:xfrm>
                  <a:prstGeom prst="rect">
                    <a:avLst/>
                  </a:prstGeom>
                  <a:noFill/>
                  <a:ln>
                    <a:noFill/>
                  </a:ln>
                </pic:spPr>
              </pic:pic>
            </a:graphicData>
          </a:graphic>
        </wp:inline>
      </w:drawing>
    </w:r>
    <w:r w:rsidRPr="009E6916">
      <w:rPr>
        <w:b w:val="0"/>
        <w:bCs/>
        <w:noProof/>
        <w:color w:val="FF0000"/>
        <w:sz w:val="96"/>
        <w:szCs w:val="96"/>
      </w:rPr>
      <w:drawing>
        <wp:anchor distT="0" distB="0" distL="114300" distR="114300" simplePos="0" relativeHeight="251658240" behindDoc="0" locked="0" layoutInCell="1" allowOverlap="1" wp14:anchorId="11C25290" wp14:editId="66E62950">
          <wp:simplePos x="0" y="0"/>
          <wp:positionH relativeFrom="column">
            <wp:posOffset>-216535</wp:posOffset>
          </wp:positionH>
          <wp:positionV relativeFrom="paragraph">
            <wp:posOffset>2031555</wp:posOffset>
          </wp:positionV>
          <wp:extent cx="903600" cy="4896000"/>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3600" cy="48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5F80EE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FB11926"/>
    <w:multiLevelType w:val="hybridMultilevel"/>
    <w:tmpl w:val="AC14EE58"/>
    <w:lvl w:ilvl="0" w:tplc="654A52AA">
      <w:start w:val="1"/>
      <w:numFmt w:val="decimal"/>
      <w:lvlText w:val="%1."/>
      <w:lvlJc w:val="left"/>
      <w:pPr>
        <w:ind w:left="1777" w:hanging="360"/>
      </w:pPr>
      <w:rPr>
        <w:rFonts w:hint="default"/>
        <w:b/>
      </w:rPr>
    </w:lvl>
    <w:lvl w:ilvl="1" w:tplc="04070019" w:tentative="1">
      <w:start w:val="1"/>
      <w:numFmt w:val="lowerLetter"/>
      <w:lvlText w:val="%2."/>
      <w:lvlJc w:val="left"/>
      <w:pPr>
        <w:ind w:left="2497" w:hanging="360"/>
      </w:pPr>
    </w:lvl>
    <w:lvl w:ilvl="2" w:tplc="0407001B" w:tentative="1">
      <w:start w:val="1"/>
      <w:numFmt w:val="lowerRoman"/>
      <w:lvlText w:val="%3."/>
      <w:lvlJc w:val="right"/>
      <w:pPr>
        <w:ind w:left="3217" w:hanging="180"/>
      </w:pPr>
    </w:lvl>
    <w:lvl w:ilvl="3" w:tplc="0407000F" w:tentative="1">
      <w:start w:val="1"/>
      <w:numFmt w:val="decimal"/>
      <w:lvlText w:val="%4."/>
      <w:lvlJc w:val="left"/>
      <w:pPr>
        <w:ind w:left="3937" w:hanging="360"/>
      </w:pPr>
    </w:lvl>
    <w:lvl w:ilvl="4" w:tplc="04070019" w:tentative="1">
      <w:start w:val="1"/>
      <w:numFmt w:val="lowerLetter"/>
      <w:lvlText w:val="%5."/>
      <w:lvlJc w:val="left"/>
      <w:pPr>
        <w:ind w:left="4657" w:hanging="360"/>
      </w:pPr>
    </w:lvl>
    <w:lvl w:ilvl="5" w:tplc="0407001B" w:tentative="1">
      <w:start w:val="1"/>
      <w:numFmt w:val="lowerRoman"/>
      <w:lvlText w:val="%6."/>
      <w:lvlJc w:val="right"/>
      <w:pPr>
        <w:ind w:left="5377" w:hanging="180"/>
      </w:pPr>
    </w:lvl>
    <w:lvl w:ilvl="6" w:tplc="0407000F" w:tentative="1">
      <w:start w:val="1"/>
      <w:numFmt w:val="decimal"/>
      <w:lvlText w:val="%7."/>
      <w:lvlJc w:val="left"/>
      <w:pPr>
        <w:ind w:left="6097" w:hanging="360"/>
      </w:pPr>
    </w:lvl>
    <w:lvl w:ilvl="7" w:tplc="04070019" w:tentative="1">
      <w:start w:val="1"/>
      <w:numFmt w:val="lowerLetter"/>
      <w:lvlText w:val="%8."/>
      <w:lvlJc w:val="left"/>
      <w:pPr>
        <w:ind w:left="6817" w:hanging="360"/>
      </w:pPr>
    </w:lvl>
    <w:lvl w:ilvl="8" w:tplc="0407001B" w:tentative="1">
      <w:start w:val="1"/>
      <w:numFmt w:val="lowerRoman"/>
      <w:lvlText w:val="%9."/>
      <w:lvlJc w:val="right"/>
      <w:pPr>
        <w:ind w:left="7537" w:hanging="180"/>
      </w:pPr>
    </w:lvl>
  </w:abstractNum>
  <w:abstractNum w:abstractNumId="2" w15:restartNumberingAfterBreak="0">
    <w:nsid w:val="27174474"/>
    <w:multiLevelType w:val="hybridMultilevel"/>
    <w:tmpl w:val="8FB23594"/>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3" w15:restartNumberingAfterBreak="0">
    <w:nsid w:val="380C7452"/>
    <w:multiLevelType w:val="hybridMultilevel"/>
    <w:tmpl w:val="7482FE38"/>
    <w:lvl w:ilvl="0" w:tplc="0407000F">
      <w:start w:val="1"/>
      <w:numFmt w:val="decimal"/>
      <w:lvlText w:val="%1."/>
      <w:lvlJc w:val="left"/>
      <w:pPr>
        <w:ind w:left="2138" w:hanging="360"/>
      </w:pPr>
    </w:lvl>
    <w:lvl w:ilvl="1" w:tplc="04070019" w:tentative="1">
      <w:start w:val="1"/>
      <w:numFmt w:val="lowerLetter"/>
      <w:lvlText w:val="%2."/>
      <w:lvlJc w:val="left"/>
      <w:pPr>
        <w:ind w:left="2858" w:hanging="360"/>
      </w:pPr>
    </w:lvl>
    <w:lvl w:ilvl="2" w:tplc="0407001B" w:tentative="1">
      <w:start w:val="1"/>
      <w:numFmt w:val="lowerRoman"/>
      <w:lvlText w:val="%3."/>
      <w:lvlJc w:val="right"/>
      <w:pPr>
        <w:ind w:left="3578" w:hanging="180"/>
      </w:pPr>
    </w:lvl>
    <w:lvl w:ilvl="3" w:tplc="0407000F" w:tentative="1">
      <w:start w:val="1"/>
      <w:numFmt w:val="decimal"/>
      <w:lvlText w:val="%4."/>
      <w:lvlJc w:val="left"/>
      <w:pPr>
        <w:ind w:left="4298" w:hanging="360"/>
      </w:pPr>
    </w:lvl>
    <w:lvl w:ilvl="4" w:tplc="04070019" w:tentative="1">
      <w:start w:val="1"/>
      <w:numFmt w:val="lowerLetter"/>
      <w:lvlText w:val="%5."/>
      <w:lvlJc w:val="left"/>
      <w:pPr>
        <w:ind w:left="5018" w:hanging="360"/>
      </w:pPr>
    </w:lvl>
    <w:lvl w:ilvl="5" w:tplc="0407001B" w:tentative="1">
      <w:start w:val="1"/>
      <w:numFmt w:val="lowerRoman"/>
      <w:lvlText w:val="%6."/>
      <w:lvlJc w:val="right"/>
      <w:pPr>
        <w:ind w:left="5738" w:hanging="180"/>
      </w:pPr>
    </w:lvl>
    <w:lvl w:ilvl="6" w:tplc="0407000F" w:tentative="1">
      <w:start w:val="1"/>
      <w:numFmt w:val="decimal"/>
      <w:lvlText w:val="%7."/>
      <w:lvlJc w:val="left"/>
      <w:pPr>
        <w:ind w:left="6458" w:hanging="360"/>
      </w:pPr>
    </w:lvl>
    <w:lvl w:ilvl="7" w:tplc="04070019" w:tentative="1">
      <w:start w:val="1"/>
      <w:numFmt w:val="lowerLetter"/>
      <w:lvlText w:val="%8."/>
      <w:lvlJc w:val="left"/>
      <w:pPr>
        <w:ind w:left="7178" w:hanging="360"/>
      </w:pPr>
    </w:lvl>
    <w:lvl w:ilvl="8" w:tplc="0407001B" w:tentative="1">
      <w:start w:val="1"/>
      <w:numFmt w:val="lowerRoman"/>
      <w:lvlText w:val="%9."/>
      <w:lvlJc w:val="right"/>
      <w:pPr>
        <w:ind w:left="7898" w:hanging="180"/>
      </w:pPr>
    </w:lvl>
  </w:abstractNum>
  <w:abstractNum w:abstractNumId="4" w15:restartNumberingAfterBreak="0">
    <w:nsid w:val="3B7B0E8C"/>
    <w:multiLevelType w:val="hybridMultilevel"/>
    <w:tmpl w:val="5D029ADC"/>
    <w:lvl w:ilvl="0" w:tplc="FADC5FAA">
      <w:start w:val="1"/>
      <w:numFmt w:val="decimal"/>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5" w15:restartNumberingAfterBreak="0">
    <w:nsid w:val="60C539D7"/>
    <w:multiLevelType w:val="singleLevel"/>
    <w:tmpl w:val="534C1710"/>
    <w:lvl w:ilvl="0">
      <w:start w:val="2"/>
      <w:numFmt w:val="decimal"/>
      <w:pStyle w:val="berschrift9"/>
      <w:lvlText w:val="08.%1. "/>
      <w:legacy w:legacy="1" w:legacySpace="0" w:legacyIndent="283"/>
      <w:lvlJc w:val="left"/>
      <w:pPr>
        <w:ind w:left="283" w:hanging="283"/>
      </w:pPr>
      <w:rPr>
        <w:rFonts w:ascii="Arial" w:hAnsi="Arial" w:hint="default"/>
        <w:b w:val="0"/>
        <w:i w:val="0"/>
        <w:sz w:val="24"/>
        <w:u w:val="none"/>
      </w:rPr>
    </w:lvl>
  </w:abstractNum>
  <w:num w:numId="1">
    <w:abstractNumId w:val="5"/>
  </w:num>
  <w:num w:numId="2">
    <w:abstractNumId w:val="0"/>
  </w:num>
  <w:num w:numId="3">
    <w:abstractNumId w:val="3"/>
  </w:num>
  <w:num w:numId="4">
    <w:abstractNumId w:val="1"/>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A2"/>
    <w:rsid w:val="0000129C"/>
    <w:rsid w:val="000028E2"/>
    <w:rsid w:val="00003419"/>
    <w:rsid w:val="000034C1"/>
    <w:rsid w:val="000044FD"/>
    <w:rsid w:val="00004857"/>
    <w:rsid w:val="00004F95"/>
    <w:rsid w:val="000055A6"/>
    <w:rsid w:val="000104AF"/>
    <w:rsid w:val="000132C2"/>
    <w:rsid w:val="00013E8B"/>
    <w:rsid w:val="00015A55"/>
    <w:rsid w:val="00017786"/>
    <w:rsid w:val="00017C6E"/>
    <w:rsid w:val="0002225E"/>
    <w:rsid w:val="00022275"/>
    <w:rsid w:val="00025580"/>
    <w:rsid w:val="000258BE"/>
    <w:rsid w:val="00026122"/>
    <w:rsid w:val="00026674"/>
    <w:rsid w:val="0003398E"/>
    <w:rsid w:val="00033F6F"/>
    <w:rsid w:val="00034822"/>
    <w:rsid w:val="00034A69"/>
    <w:rsid w:val="00036EC6"/>
    <w:rsid w:val="00040AA2"/>
    <w:rsid w:val="00042AC9"/>
    <w:rsid w:val="00043F18"/>
    <w:rsid w:val="0004739D"/>
    <w:rsid w:val="0005327F"/>
    <w:rsid w:val="00053F8D"/>
    <w:rsid w:val="00054415"/>
    <w:rsid w:val="00056659"/>
    <w:rsid w:val="0005699A"/>
    <w:rsid w:val="00057AD4"/>
    <w:rsid w:val="00060301"/>
    <w:rsid w:val="00064912"/>
    <w:rsid w:val="00065556"/>
    <w:rsid w:val="00072AD1"/>
    <w:rsid w:val="00074DF1"/>
    <w:rsid w:val="000770FA"/>
    <w:rsid w:val="00081C06"/>
    <w:rsid w:val="00083685"/>
    <w:rsid w:val="00085996"/>
    <w:rsid w:val="000859F3"/>
    <w:rsid w:val="00085E27"/>
    <w:rsid w:val="000867A5"/>
    <w:rsid w:val="0008799B"/>
    <w:rsid w:val="00087AD7"/>
    <w:rsid w:val="00092573"/>
    <w:rsid w:val="00094805"/>
    <w:rsid w:val="00094D41"/>
    <w:rsid w:val="00095245"/>
    <w:rsid w:val="00095B15"/>
    <w:rsid w:val="00095BFA"/>
    <w:rsid w:val="00096168"/>
    <w:rsid w:val="00096E68"/>
    <w:rsid w:val="000A18C2"/>
    <w:rsid w:val="000A29F9"/>
    <w:rsid w:val="000A3756"/>
    <w:rsid w:val="000A3ECB"/>
    <w:rsid w:val="000A4283"/>
    <w:rsid w:val="000B25EA"/>
    <w:rsid w:val="000B3449"/>
    <w:rsid w:val="000B6D48"/>
    <w:rsid w:val="000B73AF"/>
    <w:rsid w:val="000C20DF"/>
    <w:rsid w:val="000C21A4"/>
    <w:rsid w:val="000C27CD"/>
    <w:rsid w:val="000C3BF3"/>
    <w:rsid w:val="000C3F4F"/>
    <w:rsid w:val="000C5F9D"/>
    <w:rsid w:val="000C6C0C"/>
    <w:rsid w:val="000C7FD6"/>
    <w:rsid w:val="000D5DE0"/>
    <w:rsid w:val="000D64AB"/>
    <w:rsid w:val="000D7C29"/>
    <w:rsid w:val="000E1012"/>
    <w:rsid w:val="000E241D"/>
    <w:rsid w:val="000E26BE"/>
    <w:rsid w:val="000E4487"/>
    <w:rsid w:val="000E6459"/>
    <w:rsid w:val="000F39E0"/>
    <w:rsid w:val="000F58E1"/>
    <w:rsid w:val="000F6F77"/>
    <w:rsid w:val="000F7065"/>
    <w:rsid w:val="000F7B33"/>
    <w:rsid w:val="000F7F0A"/>
    <w:rsid w:val="00104AF9"/>
    <w:rsid w:val="00105935"/>
    <w:rsid w:val="001066BC"/>
    <w:rsid w:val="001112FB"/>
    <w:rsid w:val="001131BB"/>
    <w:rsid w:val="00114091"/>
    <w:rsid w:val="001165E4"/>
    <w:rsid w:val="0011671E"/>
    <w:rsid w:val="0011775D"/>
    <w:rsid w:val="00122FEB"/>
    <w:rsid w:val="0012589C"/>
    <w:rsid w:val="00125B06"/>
    <w:rsid w:val="00127B35"/>
    <w:rsid w:val="00130B76"/>
    <w:rsid w:val="00134C10"/>
    <w:rsid w:val="0013501B"/>
    <w:rsid w:val="00142364"/>
    <w:rsid w:val="00144BDA"/>
    <w:rsid w:val="0014617C"/>
    <w:rsid w:val="0014747A"/>
    <w:rsid w:val="001507E5"/>
    <w:rsid w:val="00152494"/>
    <w:rsid w:val="00153370"/>
    <w:rsid w:val="00153785"/>
    <w:rsid w:val="00153C6E"/>
    <w:rsid w:val="0015595D"/>
    <w:rsid w:val="00157483"/>
    <w:rsid w:val="00160DF3"/>
    <w:rsid w:val="00161633"/>
    <w:rsid w:val="00163750"/>
    <w:rsid w:val="001637EB"/>
    <w:rsid w:val="001640AE"/>
    <w:rsid w:val="00166879"/>
    <w:rsid w:val="00170417"/>
    <w:rsid w:val="00170F9D"/>
    <w:rsid w:val="0017103C"/>
    <w:rsid w:val="00171FB7"/>
    <w:rsid w:val="0017394F"/>
    <w:rsid w:val="00174AB5"/>
    <w:rsid w:val="00174DDD"/>
    <w:rsid w:val="00182314"/>
    <w:rsid w:val="001826ED"/>
    <w:rsid w:val="00184013"/>
    <w:rsid w:val="00190FCF"/>
    <w:rsid w:val="00191E4B"/>
    <w:rsid w:val="001920F7"/>
    <w:rsid w:val="00192BA6"/>
    <w:rsid w:val="001930F3"/>
    <w:rsid w:val="00193B0A"/>
    <w:rsid w:val="0019609E"/>
    <w:rsid w:val="001A1370"/>
    <w:rsid w:val="001A217F"/>
    <w:rsid w:val="001A2853"/>
    <w:rsid w:val="001A329C"/>
    <w:rsid w:val="001A48E6"/>
    <w:rsid w:val="001A6931"/>
    <w:rsid w:val="001A7142"/>
    <w:rsid w:val="001A73EE"/>
    <w:rsid w:val="001A7667"/>
    <w:rsid w:val="001B1583"/>
    <w:rsid w:val="001B1901"/>
    <w:rsid w:val="001B23CB"/>
    <w:rsid w:val="001B2541"/>
    <w:rsid w:val="001B2A97"/>
    <w:rsid w:val="001B4186"/>
    <w:rsid w:val="001B5BAF"/>
    <w:rsid w:val="001B61A8"/>
    <w:rsid w:val="001C1803"/>
    <w:rsid w:val="001C2F68"/>
    <w:rsid w:val="001C5550"/>
    <w:rsid w:val="001C5E01"/>
    <w:rsid w:val="001C5EFC"/>
    <w:rsid w:val="001C6023"/>
    <w:rsid w:val="001C674F"/>
    <w:rsid w:val="001C7A89"/>
    <w:rsid w:val="001D2F2F"/>
    <w:rsid w:val="001D45E5"/>
    <w:rsid w:val="001D493E"/>
    <w:rsid w:val="001D526B"/>
    <w:rsid w:val="001D593B"/>
    <w:rsid w:val="001D737A"/>
    <w:rsid w:val="001E2158"/>
    <w:rsid w:val="001E3606"/>
    <w:rsid w:val="001E367E"/>
    <w:rsid w:val="001E4E66"/>
    <w:rsid w:val="001E4FAB"/>
    <w:rsid w:val="001E51FA"/>
    <w:rsid w:val="001E7FF2"/>
    <w:rsid w:val="001F0059"/>
    <w:rsid w:val="001F04F9"/>
    <w:rsid w:val="001F228F"/>
    <w:rsid w:val="001F24D1"/>
    <w:rsid w:val="001F4405"/>
    <w:rsid w:val="001F491E"/>
    <w:rsid w:val="00200E6D"/>
    <w:rsid w:val="002018CB"/>
    <w:rsid w:val="00201EEF"/>
    <w:rsid w:val="00202F3D"/>
    <w:rsid w:val="00203DF5"/>
    <w:rsid w:val="00203E8C"/>
    <w:rsid w:val="00204F9B"/>
    <w:rsid w:val="00211828"/>
    <w:rsid w:val="00211CAC"/>
    <w:rsid w:val="00214134"/>
    <w:rsid w:val="0021745C"/>
    <w:rsid w:val="00221390"/>
    <w:rsid w:val="00222DF9"/>
    <w:rsid w:val="00224A2F"/>
    <w:rsid w:val="00225330"/>
    <w:rsid w:val="00230DA4"/>
    <w:rsid w:val="002357B8"/>
    <w:rsid w:val="00235AE8"/>
    <w:rsid w:val="002363FD"/>
    <w:rsid w:val="00240122"/>
    <w:rsid w:val="0024186E"/>
    <w:rsid w:val="0024252F"/>
    <w:rsid w:val="00244D7F"/>
    <w:rsid w:val="002479CB"/>
    <w:rsid w:val="0025136A"/>
    <w:rsid w:val="002544EF"/>
    <w:rsid w:val="002548AA"/>
    <w:rsid w:val="002571C8"/>
    <w:rsid w:val="0025757F"/>
    <w:rsid w:val="002619CB"/>
    <w:rsid w:val="00261A01"/>
    <w:rsid w:val="00265088"/>
    <w:rsid w:val="0026547E"/>
    <w:rsid w:val="0026643A"/>
    <w:rsid w:val="002706B9"/>
    <w:rsid w:val="0027332C"/>
    <w:rsid w:val="00275970"/>
    <w:rsid w:val="002772D9"/>
    <w:rsid w:val="00280FCC"/>
    <w:rsid w:val="00281234"/>
    <w:rsid w:val="002840CA"/>
    <w:rsid w:val="0028439B"/>
    <w:rsid w:val="00285240"/>
    <w:rsid w:val="00286C76"/>
    <w:rsid w:val="00287E27"/>
    <w:rsid w:val="00291F23"/>
    <w:rsid w:val="002927F1"/>
    <w:rsid w:val="00292E59"/>
    <w:rsid w:val="002A073B"/>
    <w:rsid w:val="002A2F6F"/>
    <w:rsid w:val="002A5ACF"/>
    <w:rsid w:val="002A78B7"/>
    <w:rsid w:val="002A799B"/>
    <w:rsid w:val="002B0140"/>
    <w:rsid w:val="002B132D"/>
    <w:rsid w:val="002B3B3F"/>
    <w:rsid w:val="002B3D4E"/>
    <w:rsid w:val="002C16A3"/>
    <w:rsid w:val="002C1BD7"/>
    <w:rsid w:val="002C696A"/>
    <w:rsid w:val="002D2BAD"/>
    <w:rsid w:val="002D5E46"/>
    <w:rsid w:val="002D731F"/>
    <w:rsid w:val="002E00CA"/>
    <w:rsid w:val="002E1F5C"/>
    <w:rsid w:val="002E223D"/>
    <w:rsid w:val="002E2BE6"/>
    <w:rsid w:val="002E400C"/>
    <w:rsid w:val="002E4C33"/>
    <w:rsid w:val="002E53EA"/>
    <w:rsid w:val="002E7787"/>
    <w:rsid w:val="002F1903"/>
    <w:rsid w:val="002F2869"/>
    <w:rsid w:val="002F6F5B"/>
    <w:rsid w:val="00302432"/>
    <w:rsid w:val="00304CDB"/>
    <w:rsid w:val="00305449"/>
    <w:rsid w:val="00311725"/>
    <w:rsid w:val="00313E13"/>
    <w:rsid w:val="00313F04"/>
    <w:rsid w:val="003164EB"/>
    <w:rsid w:val="00316714"/>
    <w:rsid w:val="003219DB"/>
    <w:rsid w:val="00325537"/>
    <w:rsid w:val="0032604B"/>
    <w:rsid w:val="00326ACA"/>
    <w:rsid w:val="00332586"/>
    <w:rsid w:val="00332B1D"/>
    <w:rsid w:val="003335C6"/>
    <w:rsid w:val="00333DB1"/>
    <w:rsid w:val="00333FEA"/>
    <w:rsid w:val="00335F4B"/>
    <w:rsid w:val="0033653B"/>
    <w:rsid w:val="0033725F"/>
    <w:rsid w:val="00340455"/>
    <w:rsid w:val="00340E9F"/>
    <w:rsid w:val="0034784E"/>
    <w:rsid w:val="0035267F"/>
    <w:rsid w:val="00353336"/>
    <w:rsid w:val="00354EB1"/>
    <w:rsid w:val="0035627E"/>
    <w:rsid w:val="003606B4"/>
    <w:rsid w:val="00363C1E"/>
    <w:rsid w:val="00365628"/>
    <w:rsid w:val="003660C6"/>
    <w:rsid w:val="003664D8"/>
    <w:rsid w:val="00366E61"/>
    <w:rsid w:val="00371596"/>
    <w:rsid w:val="003720DF"/>
    <w:rsid w:val="00372CF8"/>
    <w:rsid w:val="00375E20"/>
    <w:rsid w:val="00376105"/>
    <w:rsid w:val="00380CBC"/>
    <w:rsid w:val="003817F2"/>
    <w:rsid w:val="003839BE"/>
    <w:rsid w:val="00386740"/>
    <w:rsid w:val="00387768"/>
    <w:rsid w:val="00390A20"/>
    <w:rsid w:val="00390A6C"/>
    <w:rsid w:val="003916E4"/>
    <w:rsid w:val="003921D5"/>
    <w:rsid w:val="00393CCD"/>
    <w:rsid w:val="00395078"/>
    <w:rsid w:val="00395D72"/>
    <w:rsid w:val="003962E3"/>
    <w:rsid w:val="00397A60"/>
    <w:rsid w:val="003A084D"/>
    <w:rsid w:val="003A1018"/>
    <w:rsid w:val="003A1097"/>
    <w:rsid w:val="003A2ED2"/>
    <w:rsid w:val="003A3452"/>
    <w:rsid w:val="003A3EA8"/>
    <w:rsid w:val="003A4498"/>
    <w:rsid w:val="003A4EEF"/>
    <w:rsid w:val="003A6723"/>
    <w:rsid w:val="003A6BC0"/>
    <w:rsid w:val="003B08F5"/>
    <w:rsid w:val="003B0B71"/>
    <w:rsid w:val="003B228E"/>
    <w:rsid w:val="003B5377"/>
    <w:rsid w:val="003B58E1"/>
    <w:rsid w:val="003B642B"/>
    <w:rsid w:val="003B721A"/>
    <w:rsid w:val="003C1781"/>
    <w:rsid w:val="003C2472"/>
    <w:rsid w:val="003C768B"/>
    <w:rsid w:val="003D1B8A"/>
    <w:rsid w:val="003D1E27"/>
    <w:rsid w:val="003D6171"/>
    <w:rsid w:val="003D76A3"/>
    <w:rsid w:val="003E2402"/>
    <w:rsid w:val="003E3E0B"/>
    <w:rsid w:val="003E4663"/>
    <w:rsid w:val="003E62FD"/>
    <w:rsid w:val="003E6C22"/>
    <w:rsid w:val="003F0D4B"/>
    <w:rsid w:val="003F12A9"/>
    <w:rsid w:val="003F2E5D"/>
    <w:rsid w:val="003F2FE5"/>
    <w:rsid w:val="003F30BA"/>
    <w:rsid w:val="003F583D"/>
    <w:rsid w:val="003F66C6"/>
    <w:rsid w:val="003F6E13"/>
    <w:rsid w:val="00402433"/>
    <w:rsid w:val="00406448"/>
    <w:rsid w:val="004070F1"/>
    <w:rsid w:val="004104CF"/>
    <w:rsid w:val="00410DFC"/>
    <w:rsid w:val="00410E9F"/>
    <w:rsid w:val="00411D44"/>
    <w:rsid w:val="0041268E"/>
    <w:rsid w:val="00414D44"/>
    <w:rsid w:val="00417A56"/>
    <w:rsid w:val="004205A8"/>
    <w:rsid w:val="0042538D"/>
    <w:rsid w:val="004268CA"/>
    <w:rsid w:val="00427C54"/>
    <w:rsid w:val="00427E78"/>
    <w:rsid w:val="00431A1C"/>
    <w:rsid w:val="00432100"/>
    <w:rsid w:val="00432DA8"/>
    <w:rsid w:val="004352D9"/>
    <w:rsid w:val="00441A09"/>
    <w:rsid w:val="00442966"/>
    <w:rsid w:val="0044383E"/>
    <w:rsid w:val="004439AC"/>
    <w:rsid w:val="004510E5"/>
    <w:rsid w:val="004534DC"/>
    <w:rsid w:val="004547E0"/>
    <w:rsid w:val="0045526C"/>
    <w:rsid w:val="00455C2A"/>
    <w:rsid w:val="00462B02"/>
    <w:rsid w:val="00465AA5"/>
    <w:rsid w:val="00465B21"/>
    <w:rsid w:val="004660F1"/>
    <w:rsid w:val="004661D4"/>
    <w:rsid w:val="004722BA"/>
    <w:rsid w:val="00472355"/>
    <w:rsid w:val="004725CE"/>
    <w:rsid w:val="0047478E"/>
    <w:rsid w:val="0047585A"/>
    <w:rsid w:val="0047660B"/>
    <w:rsid w:val="00476D72"/>
    <w:rsid w:val="0047716C"/>
    <w:rsid w:val="00480A91"/>
    <w:rsid w:val="00482592"/>
    <w:rsid w:val="0048382A"/>
    <w:rsid w:val="00483A32"/>
    <w:rsid w:val="004856D4"/>
    <w:rsid w:val="00490659"/>
    <w:rsid w:val="00490963"/>
    <w:rsid w:val="00493778"/>
    <w:rsid w:val="004949BB"/>
    <w:rsid w:val="004967CC"/>
    <w:rsid w:val="00496B91"/>
    <w:rsid w:val="004A0558"/>
    <w:rsid w:val="004A0F6B"/>
    <w:rsid w:val="004A3F52"/>
    <w:rsid w:val="004A41FF"/>
    <w:rsid w:val="004A452D"/>
    <w:rsid w:val="004A60EC"/>
    <w:rsid w:val="004A7A84"/>
    <w:rsid w:val="004B038B"/>
    <w:rsid w:val="004B0D7B"/>
    <w:rsid w:val="004B2047"/>
    <w:rsid w:val="004B531C"/>
    <w:rsid w:val="004B563D"/>
    <w:rsid w:val="004B750F"/>
    <w:rsid w:val="004B79E4"/>
    <w:rsid w:val="004C2B56"/>
    <w:rsid w:val="004C2CE8"/>
    <w:rsid w:val="004C5873"/>
    <w:rsid w:val="004C72E9"/>
    <w:rsid w:val="004D08E5"/>
    <w:rsid w:val="004D5EE1"/>
    <w:rsid w:val="004D6921"/>
    <w:rsid w:val="004E2CD7"/>
    <w:rsid w:val="004E4395"/>
    <w:rsid w:val="004E4AF8"/>
    <w:rsid w:val="004E7DF7"/>
    <w:rsid w:val="004F1CC5"/>
    <w:rsid w:val="004F5C4F"/>
    <w:rsid w:val="004F790C"/>
    <w:rsid w:val="0050051D"/>
    <w:rsid w:val="0050122B"/>
    <w:rsid w:val="00501FB0"/>
    <w:rsid w:val="00502D40"/>
    <w:rsid w:val="0050572F"/>
    <w:rsid w:val="00507185"/>
    <w:rsid w:val="005071E3"/>
    <w:rsid w:val="00507A70"/>
    <w:rsid w:val="00510FFB"/>
    <w:rsid w:val="00512ABC"/>
    <w:rsid w:val="005135DE"/>
    <w:rsid w:val="00516029"/>
    <w:rsid w:val="005214CD"/>
    <w:rsid w:val="00521855"/>
    <w:rsid w:val="005220CB"/>
    <w:rsid w:val="005237EC"/>
    <w:rsid w:val="00524AA5"/>
    <w:rsid w:val="00524C4F"/>
    <w:rsid w:val="005259F3"/>
    <w:rsid w:val="00525CA9"/>
    <w:rsid w:val="00526292"/>
    <w:rsid w:val="00526AED"/>
    <w:rsid w:val="00526FB3"/>
    <w:rsid w:val="00526FD0"/>
    <w:rsid w:val="005274DA"/>
    <w:rsid w:val="00527ABB"/>
    <w:rsid w:val="00530FAB"/>
    <w:rsid w:val="00531018"/>
    <w:rsid w:val="0053213F"/>
    <w:rsid w:val="00533783"/>
    <w:rsid w:val="00534068"/>
    <w:rsid w:val="0054139B"/>
    <w:rsid w:val="00541E24"/>
    <w:rsid w:val="00543C81"/>
    <w:rsid w:val="00544799"/>
    <w:rsid w:val="00544C0B"/>
    <w:rsid w:val="0054761F"/>
    <w:rsid w:val="00547626"/>
    <w:rsid w:val="00547E93"/>
    <w:rsid w:val="00550633"/>
    <w:rsid w:val="00550EDE"/>
    <w:rsid w:val="00552AE4"/>
    <w:rsid w:val="00553B3F"/>
    <w:rsid w:val="005558AA"/>
    <w:rsid w:val="0055657F"/>
    <w:rsid w:val="00556A2C"/>
    <w:rsid w:val="00564A18"/>
    <w:rsid w:val="0056651B"/>
    <w:rsid w:val="00567786"/>
    <w:rsid w:val="005700FF"/>
    <w:rsid w:val="00573292"/>
    <w:rsid w:val="0057494F"/>
    <w:rsid w:val="00576317"/>
    <w:rsid w:val="005804DE"/>
    <w:rsid w:val="005840B3"/>
    <w:rsid w:val="00584815"/>
    <w:rsid w:val="0058520B"/>
    <w:rsid w:val="00586270"/>
    <w:rsid w:val="005917BC"/>
    <w:rsid w:val="00591980"/>
    <w:rsid w:val="00591B07"/>
    <w:rsid w:val="005921C9"/>
    <w:rsid w:val="005933E8"/>
    <w:rsid w:val="00593F43"/>
    <w:rsid w:val="005A115A"/>
    <w:rsid w:val="005A1857"/>
    <w:rsid w:val="005A22BE"/>
    <w:rsid w:val="005A3E28"/>
    <w:rsid w:val="005A503C"/>
    <w:rsid w:val="005A534D"/>
    <w:rsid w:val="005A5840"/>
    <w:rsid w:val="005A5ADC"/>
    <w:rsid w:val="005A67AA"/>
    <w:rsid w:val="005B20F0"/>
    <w:rsid w:val="005B72BD"/>
    <w:rsid w:val="005C0EF3"/>
    <w:rsid w:val="005C2955"/>
    <w:rsid w:val="005C7A14"/>
    <w:rsid w:val="005D01DD"/>
    <w:rsid w:val="005D10F3"/>
    <w:rsid w:val="005D2C16"/>
    <w:rsid w:val="005D3E36"/>
    <w:rsid w:val="005D4CE5"/>
    <w:rsid w:val="005D5662"/>
    <w:rsid w:val="005D74D6"/>
    <w:rsid w:val="005E200B"/>
    <w:rsid w:val="005E34EF"/>
    <w:rsid w:val="005E4C32"/>
    <w:rsid w:val="005F382A"/>
    <w:rsid w:val="005F40EC"/>
    <w:rsid w:val="005F434A"/>
    <w:rsid w:val="005F7678"/>
    <w:rsid w:val="005F7FA4"/>
    <w:rsid w:val="00600511"/>
    <w:rsid w:val="0060162C"/>
    <w:rsid w:val="00602053"/>
    <w:rsid w:val="0060367C"/>
    <w:rsid w:val="006050E1"/>
    <w:rsid w:val="00605866"/>
    <w:rsid w:val="00606944"/>
    <w:rsid w:val="00615507"/>
    <w:rsid w:val="00616179"/>
    <w:rsid w:val="00620055"/>
    <w:rsid w:val="006227B6"/>
    <w:rsid w:val="00622826"/>
    <w:rsid w:val="006228A4"/>
    <w:rsid w:val="0062359C"/>
    <w:rsid w:val="00624962"/>
    <w:rsid w:val="00627938"/>
    <w:rsid w:val="00630EEA"/>
    <w:rsid w:val="00631236"/>
    <w:rsid w:val="00631449"/>
    <w:rsid w:val="00631918"/>
    <w:rsid w:val="00632206"/>
    <w:rsid w:val="00633C94"/>
    <w:rsid w:val="00633D39"/>
    <w:rsid w:val="00635DAD"/>
    <w:rsid w:val="006365C9"/>
    <w:rsid w:val="00636F1A"/>
    <w:rsid w:val="00637B30"/>
    <w:rsid w:val="006402DB"/>
    <w:rsid w:val="00643AFA"/>
    <w:rsid w:val="006447CF"/>
    <w:rsid w:val="00644EA8"/>
    <w:rsid w:val="00645BB1"/>
    <w:rsid w:val="0065241E"/>
    <w:rsid w:val="00652EAA"/>
    <w:rsid w:val="006539BA"/>
    <w:rsid w:val="00657DB7"/>
    <w:rsid w:val="00660324"/>
    <w:rsid w:val="00663EE6"/>
    <w:rsid w:val="00664E7B"/>
    <w:rsid w:val="006657F2"/>
    <w:rsid w:val="00666BB0"/>
    <w:rsid w:val="0067421F"/>
    <w:rsid w:val="006751CF"/>
    <w:rsid w:val="00676164"/>
    <w:rsid w:val="006762E2"/>
    <w:rsid w:val="006769F0"/>
    <w:rsid w:val="006808FC"/>
    <w:rsid w:val="006815C6"/>
    <w:rsid w:val="006820B1"/>
    <w:rsid w:val="006823BA"/>
    <w:rsid w:val="006850A0"/>
    <w:rsid w:val="00690D93"/>
    <w:rsid w:val="00691606"/>
    <w:rsid w:val="0069194F"/>
    <w:rsid w:val="00692AF5"/>
    <w:rsid w:val="00694B51"/>
    <w:rsid w:val="006965E8"/>
    <w:rsid w:val="006A0619"/>
    <w:rsid w:val="006A0E6F"/>
    <w:rsid w:val="006A2C6E"/>
    <w:rsid w:val="006A54B3"/>
    <w:rsid w:val="006A5861"/>
    <w:rsid w:val="006A5A07"/>
    <w:rsid w:val="006B02BE"/>
    <w:rsid w:val="006B27F0"/>
    <w:rsid w:val="006B39F7"/>
    <w:rsid w:val="006B3F62"/>
    <w:rsid w:val="006B5524"/>
    <w:rsid w:val="006B68D6"/>
    <w:rsid w:val="006B7D8F"/>
    <w:rsid w:val="006C0903"/>
    <w:rsid w:val="006C0C19"/>
    <w:rsid w:val="006C11AB"/>
    <w:rsid w:val="006C7B0A"/>
    <w:rsid w:val="006C7CFA"/>
    <w:rsid w:val="006D2011"/>
    <w:rsid w:val="006D3AF6"/>
    <w:rsid w:val="006E0741"/>
    <w:rsid w:val="006E1D17"/>
    <w:rsid w:val="006E350C"/>
    <w:rsid w:val="006E51A7"/>
    <w:rsid w:val="006E5604"/>
    <w:rsid w:val="006E6207"/>
    <w:rsid w:val="006E6B4C"/>
    <w:rsid w:val="006E7FEB"/>
    <w:rsid w:val="006F2353"/>
    <w:rsid w:val="006F237C"/>
    <w:rsid w:val="006F4BE1"/>
    <w:rsid w:val="006F4E1F"/>
    <w:rsid w:val="006F5820"/>
    <w:rsid w:val="006F62E0"/>
    <w:rsid w:val="006F6E4E"/>
    <w:rsid w:val="00700C2F"/>
    <w:rsid w:val="00700CF6"/>
    <w:rsid w:val="00701440"/>
    <w:rsid w:val="00701477"/>
    <w:rsid w:val="00701DF7"/>
    <w:rsid w:val="00703981"/>
    <w:rsid w:val="00706016"/>
    <w:rsid w:val="007065D3"/>
    <w:rsid w:val="00707073"/>
    <w:rsid w:val="00711219"/>
    <w:rsid w:val="00714361"/>
    <w:rsid w:val="00717BE4"/>
    <w:rsid w:val="0072168C"/>
    <w:rsid w:val="00722290"/>
    <w:rsid w:val="00725063"/>
    <w:rsid w:val="00725F64"/>
    <w:rsid w:val="007264DD"/>
    <w:rsid w:val="00732BF8"/>
    <w:rsid w:val="00733C9B"/>
    <w:rsid w:val="00734144"/>
    <w:rsid w:val="00736939"/>
    <w:rsid w:val="007408E0"/>
    <w:rsid w:val="00741BF6"/>
    <w:rsid w:val="007444D7"/>
    <w:rsid w:val="00744539"/>
    <w:rsid w:val="00746531"/>
    <w:rsid w:val="00750A0C"/>
    <w:rsid w:val="0075167A"/>
    <w:rsid w:val="00752C96"/>
    <w:rsid w:val="00754CAA"/>
    <w:rsid w:val="0075535C"/>
    <w:rsid w:val="00756AD7"/>
    <w:rsid w:val="00757DFC"/>
    <w:rsid w:val="00760205"/>
    <w:rsid w:val="00760A05"/>
    <w:rsid w:val="00761724"/>
    <w:rsid w:val="00761831"/>
    <w:rsid w:val="00763CD9"/>
    <w:rsid w:val="00764852"/>
    <w:rsid w:val="00764FB2"/>
    <w:rsid w:val="007651C6"/>
    <w:rsid w:val="00766820"/>
    <w:rsid w:val="007701AC"/>
    <w:rsid w:val="00772968"/>
    <w:rsid w:val="007733F5"/>
    <w:rsid w:val="007824F0"/>
    <w:rsid w:val="0078445D"/>
    <w:rsid w:val="00790966"/>
    <w:rsid w:val="007936EA"/>
    <w:rsid w:val="00793DC6"/>
    <w:rsid w:val="007944C5"/>
    <w:rsid w:val="00794A31"/>
    <w:rsid w:val="007976E9"/>
    <w:rsid w:val="007A0E7C"/>
    <w:rsid w:val="007A169F"/>
    <w:rsid w:val="007A2067"/>
    <w:rsid w:val="007B22AA"/>
    <w:rsid w:val="007B512E"/>
    <w:rsid w:val="007B695C"/>
    <w:rsid w:val="007B73CC"/>
    <w:rsid w:val="007C4884"/>
    <w:rsid w:val="007C5BA8"/>
    <w:rsid w:val="007C657C"/>
    <w:rsid w:val="007C7830"/>
    <w:rsid w:val="007C7F42"/>
    <w:rsid w:val="007D1053"/>
    <w:rsid w:val="007D1490"/>
    <w:rsid w:val="007D36BC"/>
    <w:rsid w:val="007D53E0"/>
    <w:rsid w:val="007D6C47"/>
    <w:rsid w:val="007D6FDD"/>
    <w:rsid w:val="007E17FC"/>
    <w:rsid w:val="007E4198"/>
    <w:rsid w:val="007E4C7E"/>
    <w:rsid w:val="007E654D"/>
    <w:rsid w:val="007F04D0"/>
    <w:rsid w:val="007F1063"/>
    <w:rsid w:val="007F288D"/>
    <w:rsid w:val="007F3665"/>
    <w:rsid w:val="007F394C"/>
    <w:rsid w:val="007F7D24"/>
    <w:rsid w:val="008002E0"/>
    <w:rsid w:val="00800510"/>
    <w:rsid w:val="00802E25"/>
    <w:rsid w:val="00803622"/>
    <w:rsid w:val="00803FDC"/>
    <w:rsid w:val="008040DE"/>
    <w:rsid w:val="00804ED2"/>
    <w:rsid w:val="008059F4"/>
    <w:rsid w:val="00805AF7"/>
    <w:rsid w:val="0080650D"/>
    <w:rsid w:val="00807207"/>
    <w:rsid w:val="008127DE"/>
    <w:rsid w:val="008136DF"/>
    <w:rsid w:val="008145E7"/>
    <w:rsid w:val="008150AE"/>
    <w:rsid w:val="008159DD"/>
    <w:rsid w:val="00815F9B"/>
    <w:rsid w:val="00816706"/>
    <w:rsid w:val="00817103"/>
    <w:rsid w:val="008209B8"/>
    <w:rsid w:val="00823E47"/>
    <w:rsid w:val="00823F64"/>
    <w:rsid w:val="00824575"/>
    <w:rsid w:val="00824D5B"/>
    <w:rsid w:val="0082541D"/>
    <w:rsid w:val="008275F2"/>
    <w:rsid w:val="0083105D"/>
    <w:rsid w:val="0083160C"/>
    <w:rsid w:val="008331BE"/>
    <w:rsid w:val="0083504C"/>
    <w:rsid w:val="00836ACD"/>
    <w:rsid w:val="00837281"/>
    <w:rsid w:val="00842473"/>
    <w:rsid w:val="00844476"/>
    <w:rsid w:val="008448D4"/>
    <w:rsid w:val="0084520B"/>
    <w:rsid w:val="0084715B"/>
    <w:rsid w:val="00850526"/>
    <w:rsid w:val="008507D6"/>
    <w:rsid w:val="00852CD7"/>
    <w:rsid w:val="008542D3"/>
    <w:rsid w:val="008548C4"/>
    <w:rsid w:val="00856BDC"/>
    <w:rsid w:val="0086024B"/>
    <w:rsid w:val="00861342"/>
    <w:rsid w:val="00863C04"/>
    <w:rsid w:val="008643B8"/>
    <w:rsid w:val="0086685E"/>
    <w:rsid w:val="0087106B"/>
    <w:rsid w:val="008735D0"/>
    <w:rsid w:val="00873BAA"/>
    <w:rsid w:val="00873C45"/>
    <w:rsid w:val="00875009"/>
    <w:rsid w:val="008775DD"/>
    <w:rsid w:val="00881C8F"/>
    <w:rsid w:val="00881D09"/>
    <w:rsid w:val="0088289E"/>
    <w:rsid w:val="008846B1"/>
    <w:rsid w:val="00884D1A"/>
    <w:rsid w:val="0088500E"/>
    <w:rsid w:val="0088619A"/>
    <w:rsid w:val="00891551"/>
    <w:rsid w:val="008938D4"/>
    <w:rsid w:val="00893CC0"/>
    <w:rsid w:val="00895468"/>
    <w:rsid w:val="00897433"/>
    <w:rsid w:val="008978DD"/>
    <w:rsid w:val="008A2197"/>
    <w:rsid w:val="008A5C21"/>
    <w:rsid w:val="008A7A1F"/>
    <w:rsid w:val="008B15CA"/>
    <w:rsid w:val="008B2338"/>
    <w:rsid w:val="008B29E6"/>
    <w:rsid w:val="008B2F26"/>
    <w:rsid w:val="008B7204"/>
    <w:rsid w:val="008B7859"/>
    <w:rsid w:val="008C0E5C"/>
    <w:rsid w:val="008C103D"/>
    <w:rsid w:val="008C424C"/>
    <w:rsid w:val="008D180F"/>
    <w:rsid w:val="008D5A35"/>
    <w:rsid w:val="008D5C92"/>
    <w:rsid w:val="008D6600"/>
    <w:rsid w:val="008D6B97"/>
    <w:rsid w:val="008E0157"/>
    <w:rsid w:val="008E2366"/>
    <w:rsid w:val="008E2AC4"/>
    <w:rsid w:val="008E35DB"/>
    <w:rsid w:val="008E50C8"/>
    <w:rsid w:val="008E5404"/>
    <w:rsid w:val="008E5483"/>
    <w:rsid w:val="008F2345"/>
    <w:rsid w:val="008F37FC"/>
    <w:rsid w:val="008F4FFE"/>
    <w:rsid w:val="008F5253"/>
    <w:rsid w:val="008F74E7"/>
    <w:rsid w:val="0090097D"/>
    <w:rsid w:val="00900ACA"/>
    <w:rsid w:val="00902A29"/>
    <w:rsid w:val="0090458E"/>
    <w:rsid w:val="00904690"/>
    <w:rsid w:val="009049C4"/>
    <w:rsid w:val="00905417"/>
    <w:rsid w:val="00906F70"/>
    <w:rsid w:val="00907FA7"/>
    <w:rsid w:val="009122E4"/>
    <w:rsid w:val="009132D6"/>
    <w:rsid w:val="009164B6"/>
    <w:rsid w:val="0092156E"/>
    <w:rsid w:val="00923F4C"/>
    <w:rsid w:val="00924336"/>
    <w:rsid w:val="00926458"/>
    <w:rsid w:val="0092647B"/>
    <w:rsid w:val="00931DAE"/>
    <w:rsid w:val="00933131"/>
    <w:rsid w:val="00934B56"/>
    <w:rsid w:val="00935ED4"/>
    <w:rsid w:val="009365F4"/>
    <w:rsid w:val="0093759F"/>
    <w:rsid w:val="00937CDB"/>
    <w:rsid w:val="009424F8"/>
    <w:rsid w:val="009472BB"/>
    <w:rsid w:val="00950BDB"/>
    <w:rsid w:val="009529BB"/>
    <w:rsid w:val="00954046"/>
    <w:rsid w:val="009553C7"/>
    <w:rsid w:val="009562CB"/>
    <w:rsid w:val="0095672F"/>
    <w:rsid w:val="00960BA0"/>
    <w:rsid w:val="00961873"/>
    <w:rsid w:val="00964DEF"/>
    <w:rsid w:val="009650B6"/>
    <w:rsid w:val="009653EB"/>
    <w:rsid w:val="009662AC"/>
    <w:rsid w:val="00966382"/>
    <w:rsid w:val="00966D36"/>
    <w:rsid w:val="00971E9C"/>
    <w:rsid w:val="00976C66"/>
    <w:rsid w:val="009778C2"/>
    <w:rsid w:val="009814A6"/>
    <w:rsid w:val="009815D8"/>
    <w:rsid w:val="00982A83"/>
    <w:rsid w:val="00990378"/>
    <w:rsid w:val="0099502F"/>
    <w:rsid w:val="00995996"/>
    <w:rsid w:val="0099636C"/>
    <w:rsid w:val="009A07E0"/>
    <w:rsid w:val="009A2A11"/>
    <w:rsid w:val="009A35CF"/>
    <w:rsid w:val="009A3D6B"/>
    <w:rsid w:val="009A5B50"/>
    <w:rsid w:val="009A63FC"/>
    <w:rsid w:val="009A6603"/>
    <w:rsid w:val="009A6A33"/>
    <w:rsid w:val="009A727E"/>
    <w:rsid w:val="009A758D"/>
    <w:rsid w:val="009A7C04"/>
    <w:rsid w:val="009B16C6"/>
    <w:rsid w:val="009B1835"/>
    <w:rsid w:val="009B554F"/>
    <w:rsid w:val="009B5807"/>
    <w:rsid w:val="009B609D"/>
    <w:rsid w:val="009B636E"/>
    <w:rsid w:val="009B6C1A"/>
    <w:rsid w:val="009B7DC1"/>
    <w:rsid w:val="009C0CB9"/>
    <w:rsid w:val="009C16EB"/>
    <w:rsid w:val="009C2033"/>
    <w:rsid w:val="009C23E8"/>
    <w:rsid w:val="009C2500"/>
    <w:rsid w:val="009C6B9B"/>
    <w:rsid w:val="009D4457"/>
    <w:rsid w:val="009D4A61"/>
    <w:rsid w:val="009D4B50"/>
    <w:rsid w:val="009D4F2C"/>
    <w:rsid w:val="009D5407"/>
    <w:rsid w:val="009D770B"/>
    <w:rsid w:val="009D7BCF"/>
    <w:rsid w:val="009E1DD2"/>
    <w:rsid w:val="009E1F92"/>
    <w:rsid w:val="009E26B6"/>
    <w:rsid w:val="009E6916"/>
    <w:rsid w:val="009E6E07"/>
    <w:rsid w:val="009E7B69"/>
    <w:rsid w:val="009E7C49"/>
    <w:rsid w:val="009F3D80"/>
    <w:rsid w:val="009F4F49"/>
    <w:rsid w:val="009F5AAD"/>
    <w:rsid w:val="009F5FA0"/>
    <w:rsid w:val="009F7161"/>
    <w:rsid w:val="00A03170"/>
    <w:rsid w:val="00A06511"/>
    <w:rsid w:val="00A075E0"/>
    <w:rsid w:val="00A10AF6"/>
    <w:rsid w:val="00A10E76"/>
    <w:rsid w:val="00A126B7"/>
    <w:rsid w:val="00A13359"/>
    <w:rsid w:val="00A13E0C"/>
    <w:rsid w:val="00A1450C"/>
    <w:rsid w:val="00A14B8B"/>
    <w:rsid w:val="00A15386"/>
    <w:rsid w:val="00A155BC"/>
    <w:rsid w:val="00A15DB5"/>
    <w:rsid w:val="00A162BA"/>
    <w:rsid w:val="00A16DC6"/>
    <w:rsid w:val="00A17780"/>
    <w:rsid w:val="00A21ABA"/>
    <w:rsid w:val="00A24293"/>
    <w:rsid w:val="00A251B2"/>
    <w:rsid w:val="00A26BF9"/>
    <w:rsid w:val="00A274EA"/>
    <w:rsid w:val="00A3164E"/>
    <w:rsid w:val="00A31842"/>
    <w:rsid w:val="00A32098"/>
    <w:rsid w:val="00A33093"/>
    <w:rsid w:val="00A35B9B"/>
    <w:rsid w:val="00A364C7"/>
    <w:rsid w:val="00A41A57"/>
    <w:rsid w:val="00A41EEB"/>
    <w:rsid w:val="00A445CD"/>
    <w:rsid w:val="00A44BE6"/>
    <w:rsid w:val="00A462BA"/>
    <w:rsid w:val="00A46D8D"/>
    <w:rsid w:val="00A50E83"/>
    <w:rsid w:val="00A518F7"/>
    <w:rsid w:val="00A5279C"/>
    <w:rsid w:val="00A549C9"/>
    <w:rsid w:val="00A55355"/>
    <w:rsid w:val="00A56143"/>
    <w:rsid w:val="00A60DAD"/>
    <w:rsid w:val="00A65B93"/>
    <w:rsid w:val="00A7019D"/>
    <w:rsid w:val="00A70C6E"/>
    <w:rsid w:val="00A71B10"/>
    <w:rsid w:val="00A72BA2"/>
    <w:rsid w:val="00A72DA8"/>
    <w:rsid w:val="00A73B62"/>
    <w:rsid w:val="00A80114"/>
    <w:rsid w:val="00A80A1F"/>
    <w:rsid w:val="00A81B04"/>
    <w:rsid w:val="00A8261C"/>
    <w:rsid w:val="00A84FDB"/>
    <w:rsid w:val="00A871BF"/>
    <w:rsid w:val="00A874EA"/>
    <w:rsid w:val="00A8759D"/>
    <w:rsid w:val="00A905A8"/>
    <w:rsid w:val="00A9189B"/>
    <w:rsid w:val="00A953DC"/>
    <w:rsid w:val="00A95D0C"/>
    <w:rsid w:val="00A96B99"/>
    <w:rsid w:val="00A9718A"/>
    <w:rsid w:val="00AA2648"/>
    <w:rsid w:val="00AA3796"/>
    <w:rsid w:val="00AA412A"/>
    <w:rsid w:val="00AA50C7"/>
    <w:rsid w:val="00AA5A38"/>
    <w:rsid w:val="00AA7E68"/>
    <w:rsid w:val="00AB22CC"/>
    <w:rsid w:val="00AB4418"/>
    <w:rsid w:val="00AC3B87"/>
    <w:rsid w:val="00AC4C24"/>
    <w:rsid w:val="00AC5171"/>
    <w:rsid w:val="00AC6385"/>
    <w:rsid w:val="00AD225E"/>
    <w:rsid w:val="00AD2953"/>
    <w:rsid w:val="00AD36FC"/>
    <w:rsid w:val="00AD3971"/>
    <w:rsid w:val="00AD3EB8"/>
    <w:rsid w:val="00AD45B1"/>
    <w:rsid w:val="00AE0D28"/>
    <w:rsid w:val="00AE261F"/>
    <w:rsid w:val="00AE3FD3"/>
    <w:rsid w:val="00AE40BF"/>
    <w:rsid w:val="00AE5118"/>
    <w:rsid w:val="00AE59F9"/>
    <w:rsid w:val="00AF04D3"/>
    <w:rsid w:val="00AF170B"/>
    <w:rsid w:val="00AF1757"/>
    <w:rsid w:val="00AF2F52"/>
    <w:rsid w:val="00AF3C4C"/>
    <w:rsid w:val="00AF401D"/>
    <w:rsid w:val="00AF69F9"/>
    <w:rsid w:val="00AF7685"/>
    <w:rsid w:val="00AF7DF6"/>
    <w:rsid w:val="00B01B6C"/>
    <w:rsid w:val="00B01D3A"/>
    <w:rsid w:val="00B0210D"/>
    <w:rsid w:val="00B03C80"/>
    <w:rsid w:val="00B0432C"/>
    <w:rsid w:val="00B04F31"/>
    <w:rsid w:val="00B0511A"/>
    <w:rsid w:val="00B07EF5"/>
    <w:rsid w:val="00B10538"/>
    <w:rsid w:val="00B12825"/>
    <w:rsid w:val="00B13932"/>
    <w:rsid w:val="00B13E1D"/>
    <w:rsid w:val="00B21AFA"/>
    <w:rsid w:val="00B21BB3"/>
    <w:rsid w:val="00B21C00"/>
    <w:rsid w:val="00B22112"/>
    <w:rsid w:val="00B24D99"/>
    <w:rsid w:val="00B26DA1"/>
    <w:rsid w:val="00B27EF7"/>
    <w:rsid w:val="00B30E5D"/>
    <w:rsid w:val="00B315C4"/>
    <w:rsid w:val="00B3221D"/>
    <w:rsid w:val="00B34422"/>
    <w:rsid w:val="00B3716C"/>
    <w:rsid w:val="00B42F83"/>
    <w:rsid w:val="00B44AEE"/>
    <w:rsid w:val="00B51A38"/>
    <w:rsid w:val="00B51B04"/>
    <w:rsid w:val="00B535AC"/>
    <w:rsid w:val="00B5392F"/>
    <w:rsid w:val="00B54AE7"/>
    <w:rsid w:val="00B5606F"/>
    <w:rsid w:val="00B56D32"/>
    <w:rsid w:val="00B572FE"/>
    <w:rsid w:val="00B605ED"/>
    <w:rsid w:val="00B62978"/>
    <w:rsid w:val="00B651FE"/>
    <w:rsid w:val="00B722E6"/>
    <w:rsid w:val="00B727E6"/>
    <w:rsid w:val="00B72FB6"/>
    <w:rsid w:val="00B76F87"/>
    <w:rsid w:val="00B77DAF"/>
    <w:rsid w:val="00B8134B"/>
    <w:rsid w:val="00B828B5"/>
    <w:rsid w:val="00B85A7C"/>
    <w:rsid w:val="00B85D61"/>
    <w:rsid w:val="00B86FB6"/>
    <w:rsid w:val="00B91529"/>
    <w:rsid w:val="00B91C6B"/>
    <w:rsid w:val="00B91DE4"/>
    <w:rsid w:val="00B91E3A"/>
    <w:rsid w:val="00B91E6D"/>
    <w:rsid w:val="00B92328"/>
    <w:rsid w:val="00BA092C"/>
    <w:rsid w:val="00BA67D6"/>
    <w:rsid w:val="00BA7AFB"/>
    <w:rsid w:val="00BA7CBE"/>
    <w:rsid w:val="00BB2449"/>
    <w:rsid w:val="00BB534A"/>
    <w:rsid w:val="00BB5BE1"/>
    <w:rsid w:val="00BB66E1"/>
    <w:rsid w:val="00BC0EF1"/>
    <w:rsid w:val="00BC20BD"/>
    <w:rsid w:val="00BC2F2D"/>
    <w:rsid w:val="00BC3616"/>
    <w:rsid w:val="00BC7E61"/>
    <w:rsid w:val="00BD107D"/>
    <w:rsid w:val="00BD64E2"/>
    <w:rsid w:val="00BF31AD"/>
    <w:rsid w:val="00BF3506"/>
    <w:rsid w:val="00BF67DF"/>
    <w:rsid w:val="00C02F3A"/>
    <w:rsid w:val="00C04384"/>
    <w:rsid w:val="00C050DA"/>
    <w:rsid w:val="00C05942"/>
    <w:rsid w:val="00C05E32"/>
    <w:rsid w:val="00C06062"/>
    <w:rsid w:val="00C065E0"/>
    <w:rsid w:val="00C071B5"/>
    <w:rsid w:val="00C1195D"/>
    <w:rsid w:val="00C12D91"/>
    <w:rsid w:val="00C149CC"/>
    <w:rsid w:val="00C14AC0"/>
    <w:rsid w:val="00C216E7"/>
    <w:rsid w:val="00C22D78"/>
    <w:rsid w:val="00C243AC"/>
    <w:rsid w:val="00C25E4E"/>
    <w:rsid w:val="00C30613"/>
    <w:rsid w:val="00C30CED"/>
    <w:rsid w:val="00C3288D"/>
    <w:rsid w:val="00C406A3"/>
    <w:rsid w:val="00C44EC9"/>
    <w:rsid w:val="00C46264"/>
    <w:rsid w:val="00C47120"/>
    <w:rsid w:val="00C47E10"/>
    <w:rsid w:val="00C5243B"/>
    <w:rsid w:val="00C52BC0"/>
    <w:rsid w:val="00C52E92"/>
    <w:rsid w:val="00C55876"/>
    <w:rsid w:val="00C5623A"/>
    <w:rsid w:val="00C613B5"/>
    <w:rsid w:val="00C629FF"/>
    <w:rsid w:val="00C63908"/>
    <w:rsid w:val="00C64B89"/>
    <w:rsid w:val="00C65144"/>
    <w:rsid w:val="00C665C3"/>
    <w:rsid w:val="00C66655"/>
    <w:rsid w:val="00C67721"/>
    <w:rsid w:val="00C67E44"/>
    <w:rsid w:val="00C724B9"/>
    <w:rsid w:val="00C7389C"/>
    <w:rsid w:val="00C8143F"/>
    <w:rsid w:val="00C8262B"/>
    <w:rsid w:val="00C84C03"/>
    <w:rsid w:val="00C879CC"/>
    <w:rsid w:val="00C9246B"/>
    <w:rsid w:val="00C95105"/>
    <w:rsid w:val="00C979C3"/>
    <w:rsid w:val="00CA0DB9"/>
    <w:rsid w:val="00CA0EF4"/>
    <w:rsid w:val="00CA0EFA"/>
    <w:rsid w:val="00CA1735"/>
    <w:rsid w:val="00CA1861"/>
    <w:rsid w:val="00CA2DD9"/>
    <w:rsid w:val="00CA39D9"/>
    <w:rsid w:val="00CA4048"/>
    <w:rsid w:val="00CA52C7"/>
    <w:rsid w:val="00CA5BC4"/>
    <w:rsid w:val="00CB0EBD"/>
    <w:rsid w:val="00CB1AF5"/>
    <w:rsid w:val="00CB352D"/>
    <w:rsid w:val="00CB35EB"/>
    <w:rsid w:val="00CB3FC2"/>
    <w:rsid w:val="00CB4340"/>
    <w:rsid w:val="00CB491B"/>
    <w:rsid w:val="00CB5206"/>
    <w:rsid w:val="00CB669F"/>
    <w:rsid w:val="00CC1C67"/>
    <w:rsid w:val="00CC3AD1"/>
    <w:rsid w:val="00CC44EF"/>
    <w:rsid w:val="00CC5566"/>
    <w:rsid w:val="00CC5876"/>
    <w:rsid w:val="00CD0935"/>
    <w:rsid w:val="00CD0D96"/>
    <w:rsid w:val="00CD347D"/>
    <w:rsid w:val="00CD4453"/>
    <w:rsid w:val="00CD5059"/>
    <w:rsid w:val="00CD7C5C"/>
    <w:rsid w:val="00CE2D37"/>
    <w:rsid w:val="00CE3205"/>
    <w:rsid w:val="00CF0272"/>
    <w:rsid w:val="00CF09B4"/>
    <w:rsid w:val="00CF1E1F"/>
    <w:rsid w:val="00CF5A44"/>
    <w:rsid w:val="00CF7996"/>
    <w:rsid w:val="00D02995"/>
    <w:rsid w:val="00D035E9"/>
    <w:rsid w:val="00D05A69"/>
    <w:rsid w:val="00D06374"/>
    <w:rsid w:val="00D111FD"/>
    <w:rsid w:val="00D1167F"/>
    <w:rsid w:val="00D11686"/>
    <w:rsid w:val="00D125FB"/>
    <w:rsid w:val="00D1364C"/>
    <w:rsid w:val="00D167FA"/>
    <w:rsid w:val="00D17679"/>
    <w:rsid w:val="00D229BE"/>
    <w:rsid w:val="00D23ED7"/>
    <w:rsid w:val="00D24E02"/>
    <w:rsid w:val="00D275C7"/>
    <w:rsid w:val="00D3000C"/>
    <w:rsid w:val="00D30099"/>
    <w:rsid w:val="00D30D08"/>
    <w:rsid w:val="00D30E01"/>
    <w:rsid w:val="00D32B60"/>
    <w:rsid w:val="00D34DEE"/>
    <w:rsid w:val="00D36D69"/>
    <w:rsid w:val="00D40A51"/>
    <w:rsid w:val="00D40FB4"/>
    <w:rsid w:val="00D4155A"/>
    <w:rsid w:val="00D44E51"/>
    <w:rsid w:val="00D46DC0"/>
    <w:rsid w:val="00D47002"/>
    <w:rsid w:val="00D47ADF"/>
    <w:rsid w:val="00D502D0"/>
    <w:rsid w:val="00D5062B"/>
    <w:rsid w:val="00D5065B"/>
    <w:rsid w:val="00D53996"/>
    <w:rsid w:val="00D53A1C"/>
    <w:rsid w:val="00D5419B"/>
    <w:rsid w:val="00D55CCD"/>
    <w:rsid w:val="00D60B0B"/>
    <w:rsid w:val="00D62525"/>
    <w:rsid w:val="00D63615"/>
    <w:rsid w:val="00D63816"/>
    <w:rsid w:val="00D64B28"/>
    <w:rsid w:val="00D66065"/>
    <w:rsid w:val="00D67C21"/>
    <w:rsid w:val="00D71D01"/>
    <w:rsid w:val="00D73948"/>
    <w:rsid w:val="00D7495F"/>
    <w:rsid w:val="00D76BD1"/>
    <w:rsid w:val="00D76D82"/>
    <w:rsid w:val="00D76FC7"/>
    <w:rsid w:val="00D80259"/>
    <w:rsid w:val="00D80428"/>
    <w:rsid w:val="00D81B0A"/>
    <w:rsid w:val="00D81FA2"/>
    <w:rsid w:val="00D82615"/>
    <w:rsid w:val="00D84BE3"/>
    <w:rsid w:val="00D86214"/>
    <w:rsid w:val="00D8633C"/>
    <w:rsid w:val="00D86C10"/>
    <w:rsid w:val="00D86ED0"/>
    <w:rsid w:val="00D91638"/>
    <w:rsid w:val="00D94238"/>
    <w:rsid w:val="00D95441"/>
    <w:rsid w:val="00D97833"/>
    <w:rsid w:val="00D97CC1"/>
    <w:rsid w:val="00DA155F"/>
    <w:rsid w:val="00DA2416"/>
    <w:rsid w:val="00DA31D5"/>
    <w:rsid w:val="00DA3E4B"/>
    <w:rsid w:val="00DB05B2"/>
    <w:rsid w:val="00DB363D"/>
    <w:rsid w:val="00DB3B34"/>
    <w:rsid w:val="00DB41B7"/>
    <w:rsid w:val="00DB4C25"/>
    <w:rsid w:val="00DB5219"/>
    <w:rsid w:val="00DB5652"/>
    <w:rsid w:val="00DB5FE3"/>
    <w:rsid w:val="00DB65F0"/>
    <w:rsid w:val="00DB6FCE"/>
    <w:rsid w:val="00DC02B7"/>
    <w:rsid w:val="00DC6837"/>
    <w:rsid w:val="00DC796C"/>
    <w:rsid w:val="00DD014D"/>
    <w:rsid w:val="00DD084F"/>
    <w:rsid w:val="00DD0EB6"/>
    <w:rsid w:val="00DD28C1"/>
    <w:rsid w:val="00DD3FFC"/>
    <w:rsid w:val="00DD480A"/>
    <w:rsid w:val="00DD68CC"/>
    <w:rsid w:val="00DE073F"/>
    <w:rsid w:val="00DE0984"/>
    <w:rsid w:val="00DE0E2C"/>
    <w:rsid w:val="00DE1721"/>
    <w:rsid w:val="00DE1B82"/>
    <w:rsid w:val="00DE2A95"/>
    <w:rsid w:val="00DE2ED9"/>
    <w:rsid w:val="00DE2F39"/>
    <w:rsid w:val="00DE5AC5"/>
    <w:rsid w:val="00DF0343"/>
    <w:rsid w:val="00DF13ED"/>
    <w:rsid w:val="00DF1C4C"/>
    <w:rsid w:val="00DF6274"/>
    <w:rsid w:val="00DF683F"/>
    <w:rsid w:val="00E00BEF"/>
    <w:rsid w:val="00E00F8E"/>
    <w:rsid w:val="00E02BDB"/>
    <w:rsid w:val="00E02C5F"/>
    <w:rsid w:val="00E04517"/>
    <w:rsid w:val="00E05E7D"/>
    <w:rsid w:val="00E076B8"/>
    <w:rsid w:val="00E07A5C"/>
    <w:rsid w:val="00E1081D"/>
    <w:rsid w:val="00E14ADE"/>
    <w:rsid w:val="00E165FA"/>
    <w:rsid w:val="00E16A20"/>
    <w:rsid w:val="00E175AA"/>
    <w:rsid w:val="00E205DD"/>
    <w:rsid w:val="00E21199"/>
    <w:rsid w:val="00E215C8"/>
    <w:rsid w:val="00E27F9F"/>
    <w:rsid w:val="00E3006F"/>
    <w:rsid w:val="00E3130A"/>
    <w:rsid w:val="00E319F8"/>
    <w:rsid w:val="00E35864"/>
    <w:rsid w:val="00E36503"/>
    <w:rsid w:val="00E4094B"/>
    <w:rsid w:val="00E40A4C"/>
    <w:rsid w:val="00E41851"/>
    <w:rsid w:val="00E448FC"/>
    <w:rsid w:val="00E44956"/>
    <w:rsid w:val="00E45721"/>
    <w:rsid w:val="00E45E11"/>
    <w:rsid w:val="00E50383"/>
    <w:rsid w:val="00E5113A"/>
    <w:rsid w:val="00E518BD"/>
    <w:rsid w:val="00E5294F"/>
    <w:rsid w:val="00E52FE7"/>
    <w:rsid w:val="00E55CF0"/>
    <w:rsid w:val="00E55F12"/>
    <w:rsid w:val="00E577A2"/>
    <w:rsid w:val="00E60420"/>
    <w:rsid w:val="00E611E3"/>
    <w:rsid w:val="00E62A55"/>
    <w:rsid w:val="00E649D2"/>
    <w:rsid w:val="00E64DE8"/>
    <w:rsid w:val="00E66469"/>
    <w:rsid w:val="00E72B2D"/>
    <w:rsid w:val="00E72EDD"/>
    <w:rsid w:val="00E72FD5"/>
    <w:rsid w:val="00E751A2"/>
    <w:rsid w:val="00E771D3"/>
    <w:rsid w:val="00E80CB0"/>
    <w:rsid w:val="00E862DE"/>
    <w:rsid w:val="00E867AF"/>
    <w:rsid w:val="00E86ADC"/>
    <w:rsid w:val="00E86BF5"/>
    <w:rsid w:val="00E8737E"/>
    <w:rsid w:val="00E874DC"/>
    <w:rsid w:val="00E90057"/>
    <w:rsid w:val="00E921BB"/>
    <w:rsid w:val="00E933EB"/>
    <w:rsid w:val="00E94D0A"/>
    <w:rsid w:val="00E95D1C"/>
    <w:rsid w:val="00E97ABB"/>
    <w:rsid w:val="00E97D63"/>
    <w:rsid w:val="00EA018D"/>
    <w:rsid w:val="00EA57BA"/>
    <w:rsid w:val="00EA5D57"/>
    <w:rsid w:val="00EB089E"/>
    <w:rsid w:val="00EB3361"/>
    <w:rsid w:val="00EB39B6"/>
    <w:rsid w:val="00EB43BF"/>
    <w:rsid w:val="00EB4BDA"/>
    <w:rsid w:val="00EB4FDB"/>
    <w:rsid w:val="00EB5E72"/>
    <w:rsid w:val="00EC0455"/>
    <w:rsid w:val="00EC081E"/>
    <w:rsid w:val="00EC0F14"/>
    <w:rsid w:val="00ED1E4A"/>
    <w:rsid w:val="00ED27A5"/>
    <w:rsid w:val="00ED2F0E"/>
    <w:rsid w:val="00ED3AA7"/>
    <w:rsid w:val="00ED3B0E"/>
    <w:rsid w:val="00ED62FF"/>
    <w:rsid w:val="00ED6776"/>
    <w:rsid w:val="00ED7144"/>
    <w:rsid w:val="00EE04DC"/>
    <w:rsid w:val="00EE0B24"/>
    <w:rsid w:val="00EE53DF"/>
    <w:rsid w:val="00EE6FD6"/>
    <w:rsid w:val="00EF04A7"/>
    <w:rsid w:val="00EF0D1C"/>
    <w:rsid w:val="00EF1922"/>
    <w:rsid w:val="00EF1BC5"/>
    <w:rsid w:val="00EF2706"/>
    <w:rsid w:val="00EF5984"/>
    <w:rsid w:val="00EF61E3"/>
    <w:rsid w:val="00EF7569"/>
    <w:rsid w:val="00EF7DC6"/>
    <w:rsid w:val="00F000C6"/>
    <w:rsid w:val="00F01785"/>
    <w:rsid w:val="00F03A05"/>
    <w:rsid w:val="00F04BCD"/>
    <w:rsid w:val="00F05D42"/>
    <w:rsid w:val="00F065C9"/>
    <w:rsid w:val="00F06986"/>
    <w:rsid w:val="00F10838"/>
    <w:rsid w:val="00F116F8"/>
    <w:rsid w:val="00F118FF"/>
    <w:rsid w:val="00F16C21"/>
    <w:rsid w:val="00F173DE"/>
    <w:rsid w:val="00F17E25"/>
    <w:rsid w:val="00F17FC8"/>
    <w:rsid w:val="00F20B40"/>
    <w:rsid w:val="00F22962"/>
    <w:rsid w:val="00F22F18"/>
    <w:rsid w:val="00F23828"/>
    <w:rsid w:val="00F25A7B"/>
    <w:rsid w:val="00F274DB"/>
    <w:rsid w:val="00F2754E"/>
    <w:rsid w:val="00F27A6F"/>
    <w:rsid w:val="00F31E27"/>
    <w:rsid w:val="00F33944"/>
    <w:rsid w:val="00F34C23"/>
    <w:rsid w:val="00F34DC1"/>
    <w:rsid w:val="00F353CF"/>
    <w:rsid w:val="00F405DA"/>
    <w:rsid w:val="00F4266E"/>
    <w:rsid w:val="00F44C58"/>
    <w:rsid w:val="00F46012"/>
    <w:rsid w:val="00F4637F"/>
    <w:rsid w:val="00F46F66"/>
    <w:rsid w:val="00F477AF"/>
    <w:rsid w:val="00F502BC"/>
    <w:rsid w:val="00F539F8"/>
    <w:rsid w:val="00F5438E"/>
    <w:rsid w:val="00F5691A"/>
    <w:rsid w:val="00F642F3"/>
    <w:rsid w:val="00F64688"/>
    <w:rsid w:val="00F663A8"/>
    <w:rsid w:val="00F667B7"/>
    <w:rsid w:val="00F66AEC"/>
    <w:rsid w:val="00F71041"/>
    <w:rsid w:val="00F71BA0"/>
    <w:rsid w:val="00F71E03"/>
    <w:rsid w:val="00F71E46"/>
    <w:rsid w:val="00F7230A"/>
    <w:rsid w:val="00F72DC1"/>
    <w:rsid w:val="00F72E0C"/>
    <w:rsid w:val="00F73FA2"/>
    <w:rsid w:val="00F749F4"/>
    <w:rsid w:val="00F75F32"/>
    <w:rsid w:val="00F7751F"/>
    <w:rsid w:val="00F80DC7"/>
    <w:rsid w:val="00F838EC"/>
    <w:rsid w:val="00F8441C"/>
    <w:rsid w:val="00F85188"/>
    <w:rsid w:val="00F851F6"/>
    <w:rsid w:val="00F85AA5"/>
    <w:rsid w:val="00F85D52"/>
    <w:rsid w:val="00F90D9F"/>
    <w:rsid w:val="00F918F6"/>
    <w:rsid w:val="00F93821"/>
    <w:rsid w:val="00F93B07"/>
    <w:rsid w:val="00F96057"/>
    <w:rsid w:val="00F96B96"/>
    <w:rsid w:val="00F96BC8"/>
    <w:rsid w:val="00FA1D4D"/>
    <w:rsid w:val="00FA3E70"/>
    <w:rsid w:val="00FA4B54"/>
    <w:rsid w:val="00FA6504"/>
    <w:rsid w:val="00FA699B"/>
    <w:rsid w:val="00FA77B7"/>
    <w:rsid w:val="00FB0780"/>
    <w:rsid w:val="00FB0796"/>
    <w:rsid w:val="00FB18BE"/>
    <w:rsid w:val="00FB2621"/>
    <w:rsid w:val="00FB2EC5"/>
    <w:rsid w:val="00FB5ACF"/>
    <w:rsid w:val="00FB5F01"/>
    <w:rsid w:val="00FB5FD0"/>
    <w:rsid w:val="00FC085A"/>
    <w:rsid w:val="00FC088F"/>
    <w:rsid w:val="00FC2A02"/>
    <w:rsid w:val="00FC2B67"/>
    <w:rsid w:val="00FC4338"/>
    <w:rsid w:val="00FC4977"/>
    <w:rsid w:val="00FC618E"/>
    <w:rsid w:val="00FC6209"/>
    <w:rsid w:val="00FD054C"/>
    <w:rsid w:val="00FD0F78"/>
    <w:rsid w:val="00FD3C16"/>
    <w:rsid w:val="00FD48DA"/>
    <w:rsid w:val="00FD7C3D"/>
    <w:rsid w:val="00FE02E2"/>
    <w:rsid w:val="00FE154F"/>
    <w:rsid w:val="00FE19C9"/>
    <w:rsid w:val="00FE4E0E"/>
    <w:rsid w:val="00FE53C7"/>
    <w:rsid w:val="00FE7E18"/>
    <w:rsid w:val="00FF07B4"/>
    <w:rsid w:val="00FF1199"/>
    <w:rsid w:val="00FF2EE5"/>
    <w:rsid w:val="00FF38FA"/>
    <w:rsid w:val="00FF4FB3"/>
    <w:rsid w:val="00FF6051"/>
    <w:rsid w:val="00FF619B"/>
    <w:rsid w:val="00FF6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5AE8824"/>
  <w15:chartTrackingRefBased/>
  <w15:docId w15:val="{728D733F-E1FE-4741-A7DB-553B2543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672F"/>
    <w:rPr>
      <w:rFonts w:ascii="Arial" w:hAnsi="Arial" w:cs="Arial"/>
      <w:sz w:val="24"/>
      <w:szCs w:val="24"/>
    </w:rPr>
  </w:style>
  <w:style w:type="paragraph" w:styleId="berschrift1">
    <w:name w:val="heading 1"/>
    <w:basedOn w:val="Standard"/>
    <w:next w:val="Standard"/>
    <w:link w:val="berschrift1Zchn"/>
    <w:qFormat/>
    <w:rsid w:val="008E0157"/>
    <w:pPr>
      <w:keepNext/>
      <w:shd w:val="pct10" w:color="auto" w:fill="auto"/>
      <w:jc w:val="both"/>
      <w:outlineLvl w:val="0"/>
    </w:pPr>
    <w:rPr>
      <w:sz w:val="40"/>
    </w:rPr>
  </w:style>
  <w:style w:type="paragraph" w:styleId="berschrift2">
    <w:name w:val="heading 2"/>
    <w:basedOn w:val="Standard"/>
    <w:next w:val="Standard"/>
    <w:qFormat/>
    <w:pPr>
      <w:keepNext/>
      <w:ind w:left="1701"/>
      <w:outlineLvl w:val="1"/>
    </w:pPr>
    <w:rPr>
      <w:b/>
      <w:sz w:val="32"/>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outlineLvl w:val="3"/>
    </w:pPr>
    <w:rPr>
      <w:b/>
      <w:sz w:val="28"/>
      <w:u w:val="single"/>
    </w:rPr>
  </w:style>
  <w:style w:type="paragraph" w:styleId="berschrift5">
    <w:name w:val="heading 5"/>
    <w:basedOn w:val="Standard"/>
    <w:next w:val="Standard"/>
    <w:qFormat/>
    <w:pPr>
      <w:keepNext/>
      <w:tabs>
        <w:tab w:val="right" w:pos="9071"/>
      </w:tabs>
      <w:ind w:left="2836" w:hanging="1135"/>
      <w:outlineLvl w:val="4"/>
    </w:pPr>
    <w:rPr>
      <w:b/>
      <w:sz w:val="3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spacing w:after="120"/>
      <w:ind w:left="283"/>
    </w:pPr>
  </w:style>
  <w:style w:type="paragraph" w:styleId="Textkrper-Einzug2">
    <w:name w:val="Body Text Indent 2"/>
    <w:basedOn w:val="Standard"/>
    <w:pPr>
      <w:ind w:left="1416"/>
    </w:pPr>
  </w:style>
  <w:style w:type="paragraph" w:styleId="Textkrper">
    <w:name w:val="Body Text"/>
    <w:basedOn w:val="Standard"/>
    <w:rPr>
      <w:b/>
      <w:sz w:val="22"/>
    </w:rPr>
  </w:style>
  <w:style w:type="character" w:styleId="Hyperlink">
    <w:name w:val="Hyperlink"/>
    <w:uiPriority w:val="99"/>
    <w:rPr>
      <w:color w:val="0000FF"/>
      <w:u w:val="single"/>
    </w:rPr>
  </w:style>
  <w:style w:type="paragraph" w:styleId="Textkrper-Einzug3">
    <w:name w:val="Body Text Indent 3"/>
    <w:basedOn w:val="Standard"/>
    <w:pPr>
      <w:ind w:left="1418"/>
    </w:pPr>
  </w:style>
  <w:style w:type="paragraph" w:customStyle="1" w:styleId="Blockquote">
    <w:name w:val="Blockquote"/>
    <w:basedOn w:val="Standard"/>
    <w:pPr>
      <w:spacing w:before="100" w:after="100"/>
      <w:ind w:left="360" w:right="360"/>
    </w:pPr>
    <w:rPr>
      <w:snapToGrid w:val="0"/>
    </w:rPr>
  </w:style>
  <w:style w:type="paragraph" w:styleId="Blocktext">
    <w:name w:val="Block Text"/>
    <w:basedOn w:val="Standard"/>
    <w:pPr>
      <w:ind w:left="1702" w:right="310"/>
      <w:jc w:val="both"/>
    </w:pPr>
  </w:style>
  <w:style w:type="paragraph" w:styleId="Textkrper2">
    <w:name w:val="Body Text 2"/>
    <w:basedOn w:val="Standard"/>
    <w:pPr>
      <w:tabs>
        <w:tab w:val="left" w:pos="2127"/>
      </w:tabs>
    </w:pPr>
    <w:rPr>
      <w:sz w:val="22"/>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Sprechblasentext">
    <w:name w:val="Balloon Text"/>
    <w:basedOn w:val="Standard"/>
    <w:link w:val="SprechblasentextZchn"/>
    <w:uiPriority w:val="99"/>
    <w:semiHidden/>
    <w:unhideWhenUsed/>
    <w:rsid w:val="00793DC6"/>
    <w:rPr>
      <w:rFonts w:ascii="Tahoma" w:hAnsi="Tahoma" w:cs="Tahoma"/>
      <w:sz w:val="16"/>
      <w:szCs w:val="16"/>
    </w:rPr>
  </w:style>
  <w:style w:type="character" w:customStyle="1" w:styleId="SprechblasentextZchn">
    <w:name w:val="Sprechblasentext Zchn"/>
    <w:link w:val="Sprechblasentext"/>
    <w:uiPriority w:val="99"/>
    <w:semiHidden/>
    <w:rsid w:val="00793DC6"/>
    <w:rPr>
      <w:rFonts w:ascii="Tahoma" w:hAnsi="Tahoma" w:cs="Tahoma"/>
      <w:sz w:val="16"/>
      <w:szCs w:val="16"/>
    </w:rPr>
  </w:style>
  <w:style w:type="paragraph" w:customStyle="1" w:styleId="Kopf">
    <w:name w:val="Ü Kopf"/>
    <w:basedOn w:val="Standard"/>
    <w:link w:val="KopfZchn"/>
    <w:qFormat/>
    <w:rsid w:val="00C05E32"/>
    <w:pPr>
      <w:shd w:val="pct15" w:color="auto" w:fill="B3B3B3"/>
      <w:outlineLvl w:val="0"/>
    </w:pPr>
    <w:rPr>
      <w:sz w:val="40"/>
    </w:rPr>
  </w:style>
  <w:style w:type="paragraph" w:customStyle="1" w:styleId="Beitrag">
    <w:name w:val="Ü Beitrag"/>
    <w:basedOn w:val="Standard"/>
    <w:link w:val="BeitragZchn"/>
    <w:qFormat/>
    <w:rsid w:val="00C05E32"/>
    <w:rPr>
      <w:b/>
      <w:sz w:val="28"/>
      <w:szCs w:val="28"/>
    </w:rPr>
  </w:style>
  <w:style w:type="character" w:customStyle="1" w:styleId="KopfZchn">
    <w:name w:val="Ü Kopf Zchn"/>
    <w:link w:val="Kopf"/>
    <w:rsid w:val="00C05E32"/>
    <w:rPr>
      <w:rFonts w:ascii="Arial" w:hAnsi="Arial"/>
      <w:sz w:val="40"/>
      <w:shd w:val="pct15" w:color="auto" w:fill="B3B3B3"/>
      <w:lang w:bidi="ar-SA"/>
    </w:rPr>
  </w:style>
  <w:style w:type="character" w:customStyle="1" w:styleId="BeitragZchn">
    <w:name w:val="Ü Beitrag Zchn"/>
    <w:link w:val="Beitrag"/>
    <w:rsid w:val="00C05E32"/>
    <w:rPr>
      <w:rFonts w:ascii="Arial" w:hAnsi="Arial" w:cs="Arial"/>
      <w:b/>
      <w:sz w:val="28"/>
      <w:szCs w:val="28"/>
      <w:lang w:bidi="ar-SA"/>
    </w:rPr>
  </w:style>
  <w:style w:type="character" w:styleId="BesuchterLink">
    <w:name w:val="FollowedHyperlink"/>
    <w:uiPriority w:val="99"/>
    <w:semiHidden/>
    <w:unhideWhenUsed/>
    <w:rsid w:val="00B22112"/>
    <w:rPr>
      <w:color w:val="800080"/>
      <w:u w:val="single"/>
    </w:rPr>
  </w:style>
  <w:style w:type="paragraph" w:styleId="Listenabsatz">
    <w:name w:val="List Paragraph"/>
    <w:basedOn w:val="Standard"/>
    <w:uiPriority w:val="34"/>
    <w:qFormat/>
    <w:rsid w:val="004661D4"/>
    <w:pPr>
      <w:ind w:left="708"/>
    </w:pPr>
  </w:style>
  <w:style w:type="paragraph" w:customStyle="1" w:styleId="CharCharCharChar1CharZchnZchn">
    <w:name w:val="Char Char Char Char1 Char Zchn Zchn"/>
    <w:basedOn w:val="Standard"/>
    <w:rsid w:val="00017C6E"/>
    <w:pPr>
      <w:spacing w:after="160" w:line="240" w:lineRule="exact"/>
    </w:pPr>
    <w:rPr>
      <w:rFonts w:ascii="Tahoma" w:hAnsi="Tahoma"/>
      <w:sz w:val="20"/>
      <w:lang w:val="en-US" w:eastAsia="en-US"/>
    </w:rPr>
  </w:style>
  <w:style w:type="character" w:customStyle="1" w:styleId="text">
    <w:name w:val="text"/>
    <w:rsid w:val="00694B51"/>
  </w:style>
  <w:style w:type="paragraph" w:styleId="KeinLeerraum">
    <w:name w:val="No Spacing"/>
    <w:uiPriority w:val="1"/>
    <w:qFormat/>
    <w:rsid w:val="00AA7E68"/>
    <w:rPr>
      <w:rFonts w:ascii="Calibri" w:eastAsia="Calibri" w:hAnsi="Calibri" w:cs="Latha"/>
      <w:sz w:val="22"/>
      <w:szCs w:val="22"/>
      <w:lang w:eastAsia="en-US"/>
    </w:rPr>
  </w:style>
  <w:style w:type="paragraph" w:styleId="Verzeichnis1">
    <w:name w:val="toc 1"/>
    <w:basedOn w:val="Standard"/>
    <w:next w:val="Standard"/>
    <w:autoRedefine/>
    <w:uiPriority w:val="39"/>
    <w:unhideWhenUsed/>
    <w:qFormat/>
    <w:rsid w:val="00DE1721"/>
    <w:pPr>
      <w:tabs>
        <w:tab w:val="right" w:leader="dot" w:pos="9061"/>
      </w:tabs>
      <w:spacing w:before="240" w:after="120"/>
      <w:ind w:left="1418"/>
    </w:pPr>
    <w:rPr>
      <w:noProof/>
      <w:sz w:val="32"/>
    </w:rPr>
  </w:style>
  <w:style w:type="paragraph" w:customStyle="1" w:styleId="2">
    <w:name w:val="Ü2"/>
    <w:basedOn w:val="berschrift3"/>
    <w:link w:val="2Zchn"/>
    <w:qFormat/>
    <w:rsid w:val="00630EEA"/>
    <w:pPr>
      <w:ind w:left="1418" w:hanging="1418"/>
    </w:pPr>
    <w:rPr>
      <w:rFonts w:cs="Times New Roman"/>
      <w:b/>
      <w:bCs/>
      <w:sz w:val="28"/>
      <w:szCs w:val="28"/>
    </w:rPr>
  </w:style>
  <w:style w:type="character" w:customStyle="1" w:styleId="2Zchn">
    <w:name w:val="Ü2 Zchn"/>
    <w:link w:val="2"/>
    <w:rsid w:val="00630EEA"/>
    <w:rPr>
      <w:rFonts w:ascii="Arial" w:hAnsi="Arial"/>
      <w:b/>
      <w:bCs/>
      <w:sz w:val="28"/>
      <w:szCs w:val="28"/>
    </w:rPr>
  </w:style>
  <w:style w:type="paragraph" w:styleId="Verzeichnis9">
    <w:name w:val="toc 9"/>
    <w:basedOn w:val="Standard"/>
    <w:next w:val="Standard"/>
    <w:autoRedefine/>
    <w:uiPriority w:val="39"/>
    <w:unhideWhenUsed/>
    <w:rsid w:val="008E0157"/>
    <w:pPr>
      <w:spacing w:after="100"/>
      <w:ind w:left="1920"/>
    </w:pPr>
  </w:style>
  <w:style w:type="paragraph" w:styleId="Verzeichnis3">
    <w:name w:val="toc 3"/>
    <w:basedOn w:val="Standard"/>
    <w:next w:val="Standard"/>
    <w:autoRedefine/>
    <w:uiPriority w:val="39"/>
    <w:unhideWhenUsed/>
    <w:rsid w:val="00F46F66"/>
    <w:pPr>
      <w:tabs>
        <w:tab w:val="right" w:leader="dot" w:pos="9061"/>
      </w:tabs>
      <w:spacing w:after="100"/>
      <w:ind w:left="2552" w:hanging="1134"/>
    </w:pPr>
    <w:rPr>
      <w:noProof/>
    </w:rPr>
  </w:style>
  <w:style w:type="paragraph" w:styleId="Aufzhlungszeichen">
    <w:name w:val="List Bullet"/>
    <w:basedOn w:val="Standard"/>
    <w:uiPriority w:val="99"/>
    <w:unhideWhenUsed/>
    <w:rsid w:val="008542D3"/>
    <w:pPr>
      <w:numPr>
        <w:numId w:val="2"/>
      </w:numPr>
      <w:contextualSpacing/>
    </w:pPr>
  </w:style>
  <w:style w:type="character" w:styleId="Kommentarzeichen">
    <w:name w:val="annotation reference"/>
    <w:basedOn w:val="Absatz-Standardschriftart"/>
    <w:uiPriority w:val="99"/>
    <w:semiHidden/>
    <w:unhideWhenUsed/>
    <w:rsid w:val="00CC1C67"/>
    <w:rPr>
      <w:sz w:val="16"/>
      <w:szCs w:val="16"/>
    </w:rPr>
  </w:style>
  <w:style w:type="paragraph" w:styleId="Kommentartext">
    <w:name w:val="annotation text"/>
    <w:basedOn w:val="Standard"/>
    <w:link w:val="KommentartextZchn"/>
    <w:uiPriority w:val="99"/>
    <w:semiHidden/>
    <w:unhideWhenUsed/>
    <w:rsid w:val="00CC1C67"/>
    <w:rPr>
      <w:sz w:val="20"/>
      <w:szCs w:val="20"/>
    </w:rPr>
  </w:style>
  <w:style w:type="character" w:customStyle="1" w:styleId="KommentartextZchn">
    <w:name w:val="Kommentartext Zchn"/>
    <w:basedOn w:val="Absatz-Standardschriftart"/>
    <w:link w:val="Kommentartext"/>
    <w:uiPriority w:val="99"/>
    <w:semiHidden/>
    <w:rsid w:val="00CC1C67"/>
    <w:rPr>
      <w:rFonts w:ascii="Arial" w:hAnsi="Arial" w:cs="Arial"/>
    </w:rPr>
  </w:style>
  <w:style w:type="paragraph" w:styleId="Kommentarthema">
    <w:name w:val="annotation subject"/>
    <w:basedOn w:val="Kommentartext"/>
    <w:next w:val="Kommentartext"/>
    <w:link w:val="KommentarthemaZchn"/>
    <w:uiPriority w:val="99"/>
    <w:semiHidden/>
    <w:unhideWhenUsed/>
    <w:rsid w:val="00CC1C67"/>
    <w:rPr>
      <w:b/>
      <w:bCs/>
    </w:rPr>
  </w:style>
  <w:style w:type="character" w:customStyle="1" w:styleId="KommentarthemaZchn">
    <w:name w:val="Kommentarthema Zchn"/>
    <w:basedOn w:val="KommentartextZchn"/>
    <w:link w:val="Kommentarthema"/>
    <w:uiPriority w:val="99"/>
    <w:semiHidden/>
    <w:rsid w:val="00CC1C67"/>
    <w:rPr>
      <w:rFonts w:ascii="Arial" w:hAnsi="Arial" w:cs="Arial"/>
      <w:b/>
      <w:bCs/>
    </w:rPr>
  </w:style>
  <w:style w:type="character" w:customStyle="1" w:styleId="berschrift1Zchn">
    <w:name w:val="Überschrift 1 Zchn"/>
    <w:basedOn w:val="Absatz-Standardschriftart"/>
    <w:link w:val="berschrift1"/>
    <w:rsid w:val="009B636E"/>
    <w:rPr>
      <w:rFonts w:ascii="Arial" w:hAnsi="Arial" w:cs="Arial"/>
      <w:sz w:val="40"/>
      <w:szCs w:val="24"/>
      <w:shd w:val="pct10" w:color="auto" w:fill="auto"/>
    </w:rPr>
  </w:style>
  <w:style w:type="paragraph" w:styleId="StandardWeb">
    <w:name w:val="Normal (Web)"/>
    <w:basedOn w:val="Standard"/>
    <w:uiPriority w:val="99"/>
    <w:semiHidden/>
    <w:unhideWhenUsed/>
    <w:rsid w:val="00F838EC"/>
    <w:pPr>
      <w:spacing w:before="100" w:beforeAutospacing="1" w:after="100" w:afterAutospacing="1"/>
    </w:pPr>
    <w:rPr>
      <w:rFonts w:ascii="Times New Roman" w:hAnsi="Times New Roman" w:cs="Times New Roman"/>
    </w:rPr>
  </w:style>
  <w:style w:type="character" w:styleId="Fett">
    <w:name w:val="Strong"/>
    <w:basedOn w:val="Absatz-Standardschriftart"/>
    <w:uiPriority w:val="22"/>
    <w:qFormat/>
    <w:rsid w:val="00F838EC"/>
    <w:rPr>
      <w:b/>
      <w:bCs/>
    </w:rPr>
  </w:style>
  <w:style w:type="table" w:styleId="MittleresRaster3-Akzent3">
    <w:name w:val="Medium Grid 3 Accent 3"/>
    <w:basedOn w:val="NormaleTabelle"/>
    <w:uiPriority w:val="69"/>
    <w:rsid w:val="004D08E5"/>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paragraph" w:customStyle="1" w:styleId="paragraph">
    <w:name w:val="paragraph"/>
    <w:basedOn w:val="Standard"/>
    <w:rsid w:val="00D80259"/>
    <w:pPr>
      <w:spacing w:before="100" w:beforeAutospacing="1" w:after="100" w:afterAutospacing="1"/>
    </w:pPr>
    <w:rPr>
      <w:rFonts w:ascii="Times New Roman" w:hAnsi="Times New Roman" w:cs="Times New Roman"/>
    </w:rPr>
  </w:style>
  <w:style w:type="character" w:styleId="Hervorhebung">
    <w:name w:val="Emphasis"/>
    <w:basedOn w:val="Absatz-Standardschriftart"/>
    <w:uiPriority w:val="20"/>
    <w:qFormat/>
    <w:rsid w:val="00D80259"/>
    <w:rPr>
      <w:i/>
      <w:iCs/>
    </w:rPr>
  </w:style>
  <w:style w:type="character" w:customStyle="1" w:styleId="NichtaufgelsteErwhnung1">
    <w:name w:val="Nicht aufgelöste Erwähnung1"/>
    <w:basedOn w:val="Absatz-Standardschriftart"/>
    <w:uiPriority w:val="99"/>
    <w:semiHidden/>
    <w:unhideWhenUsed/>
    <w:rsid w:val="00DD014D"/>
    <w:rPr>
      <w:color w:val="605E5C"/>
      <w:shd w:val="clear" w:color="auto" w:fill="E1DFDD"/>
    </w:rPr>
  </w:style>
  <w:style w:type="paragraph" w:customStyle="1" w:styleId="DStGBPositionFlietext">
    <w:name w:val="DStGB Position Fließtext"/>
    <w:basedOn w:val="Standard"/>
    <w:rsid w:val="00E8737E"/>
    <w:pPr>
      <w:spacing w:line="280" w:lineRule="exact"/>
      <w:jc w:val="both"/>
    </w:pPr>
    <w:rPr>
      <w:rFonts w:cs="Times New Roman"/>
      <w:sz w:val="20"/>
      <w:szCs w:val="22"/>
    </w:rPr>
  </w:style>
  <w:style w:type="paragraph" w:customStyle="1" w:styleId="DStGBPositionHeadline">
    <w:name w:val="DStGB Position Headline"/>
    <w:basedOn w:val="Standard"/>
    <w:rsid w:val="00E8737E"/>
    <w:pPr>
      <w:spacing w:after="300"/>
    </w:pPr>
    <w:rPr>
      <w:rFonts w:cs="Times New Roman"/>
      <w:b/>
      <w:color w:val="666666"/>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244">
      <w:bodyDiv w:val="1"/>
      <w:marLeft w:val="0"/>
      <w:marRight w:val="0"/>
      <w:marTop w:val="0"/>
      <w:marBottom w:val="0"/>
      <w:divBdr>
        <w:top w:val="none" w:sz="0" w:space="0" w:color="auto"/>
        <w:left w:val="none" w:sz="0" w:space="0" w:color="auto"/>
        <w:bottom w:val="none" w:sz="0" w:space="0" w:color="auto"/>
        <w:right w:val="none" w:sz="0" w:space="0" w:color="auto"/>
      </w:divBdr>
    </w:div>
    <w:div w:id="34358332">
      <w:bodyDiv w:val="1"/>
      <w:marLeft w:val="0"/>
      <w:marRight w:val="0"/>
      <w:marTop w:val="0"/>
      <w:marBottom w:val="0"/>
      <w:divBdr>
        <w:top w:val="none" w:sz="0" w:space="0" w:color="auto"/>
        <w:left w:val="none" w:sz="0" w:space="0" w:color="auto"/>
        <w:bottom w:val="none" w:sz="0" w:space="0" w:color="auto"/>
        <w:right w:val="none" w:sz="0" w:space="0" w:color="auto"/>
      </w:divBdr>
    </w:div>
    <w:div w:id="88814566">
      <w:bodyDiv w:val="1"/>
      <w:marLeft w:val="0"/>
      <w:marRight w:val="0"/>
      <w:marTop w:val="0"/>
      <w:marBottom w:val="0"/>
      <w:divBdr>
        <w:top w:val="none" w:sz="0" w:space="0" w:color="auto"/>
        <w:left w:val="none" w:sz="0" w:space="0" w:color="auto"/>
        <w:bottom w:val="none" w:sz="0" w:space="0" w:color="auto"/>
        <w:right w:val="none" w:sz="0" w:space="0" w:color="auto"/>
      </w:divBdr>
      <w:divsChild>
        <w:div w:id="243993497">
          <w:marLeft w:val="0"/>
          <w:marRight w:val="0"/>
          <w:marTop w:val="0"/>
          <w:marBottom w:val="0"/>
          <w:divBdr>
            <w:top w:val="none" w:sz="0" w:space="0" w:color="auto"/>
            <w:left w:val="none" w:sz="0" w:space="0" w:color="auto"/>
            <w:bottom w:val="none" w:sz="0" w:space="0" w:color="auto"/>
            <w:right w:val="none" w:sz="0" w:space="0" w:color="auto"/>
          </w:divBdr>
          <w:divsChild>
            <w:div w:id="1067847798">
              <w:marLeft w:val="0"/>
              <w:marRight w:val="0"/>
              <w:marTop w:val="0"/>
              <w:marBottom w:val="0"/>
              <w:divBdr>
                <w:top w:val="none" w:sz="0" w:space="0" w:color="auto"/>
                <w:left w:val="none" w:sz="0" w:space="0" w:color="auto"/>
                <w:bottom w:val="none" w:sz="0" w:space="0" w:color="auto"/>
                <w:right w:val="none" w:sz="0" w:space="0" w:color="auto"/>
              </w:divBdr>
              <w:divsChild>
                <w:div w:id="787158770">
                  <w:marLeft w:val="0"/>
                  <w:marRight w:val="0"/>
                  <w:marTop w:val="0"/>
                  <w:marBottom w:val="0"/>
                  <w:divBdr>
                    <w:top w:val="none" w:sz="0" w:space="0" w:color="auto"/>
                    <w:left w:val="none" w:sz="0" w:space="0" w:color="auto"/>
                    <w:bottom w:val="none" w:sz="0" w:space="0" w:color="auto"/>
                    <w:right w:val="none" w:sz="0" w:space="0" w:color="auto"/>
                  </w:divBdr>
                  <w:divsChild>
                    <w:div w:id="525097391">
                      <w:marLeft w:val="0"/>
                      <w:marRight w:val="0"/>
                      <w:marTop w:val="0"/>
                      <w:marBottom w:val="0"/>
                      <w:divBdr>
                        <w:top w:val="none" w:sz="0" w:space="0" w:color="auto"/>
                        <w:left w:val="none" w:sz="0" w:space="0" w:color="auto"/>
                        <w:bottom w:val="none" w:sz="0" w:space="0" w:color="auto"/>
                        <w:right w:val="none" w:sz="0" w:space="0" w:color="auto"/>
                      </w:divBdr>
                      <w:divsChild>
                        <w:div w:id="938293179">
                          <w:marLeft w:val="0"/>
                          <w:marRight w:val="0"/>
                          <w:marTop w:val="0"/>
                          <w:marBottom w:val="0"/>
                          <w:divBdr>
                            <w:top w:val="none" w:sz="0" w:space="0" w:color="auto"/>
                            <w:left w:val="none" w:sz="0" w:space="0" w:color="auto"/>
                            <w:bottom w:val="none" w:sz="0" w:space="0" w:color="auto"/>
                            <w:right w:val="none" w:sz="0" w:space="0" w:color="auto"/>
                          </w:divBdr>
                          <w:divsChild>
                            <w:div w:id="800735471">
                              <w:marLeft w:val="0"/>
                              <w:marRight w:val="0"/>
                              <w:marTop w:val="0"/>
                              <w:marBottom w:val="0"/>
                              <w:divBdr>
                                <w:top w:val="none" w:sz="0" w:space="0" w:color="auto"/>
                                <w:left w:val="none" w:sz="0" w:space="0" w:color="auto"/>
                                <w:bottom w:val="none" w:sz="0" w:space="0" w:color="auto"/>
                                <w:right w:val="none" w:sz="0" w:space="0" w:color="auto"/>
                              </w:divBdr>
                              <w:divsChild>
                                <w:div w:id="956063445">
                                  <w:marLeft w:val="0"/>
                                  <w:marRight w:val="0"/>
                                  <w:marTop w:val="0"/>
                                  <w:marBottom w:val="0"/>
                                  <w:divBdr>
                                    <w:top w:val="none" w:sz="0" w:space="0" w:color="auto"/>
                                    <w:left w:val="none" w:sz="0" w:space="0" w:color="auto"/>
                                    <w:bottom w:val="none" w:sz="0" w:space="0" w:color="auto"/>
                                    <w:right w:val="none" w:sz="0" w:space="0" w:color="auto"/>
                                  </w:divBdr>
                                  <w:divsChild>
                                    <w:div w:id="1072775884">
                                      <w:marLeft w:val="0"/>
                                      <w:marRight w:val="0"/>
                                      <w:marTop w:val="0"/>
                                      <w:marBottom w:val="0"/>
                                      <w:divBdr>
                                        <w:top w:val="none" w:sz="0" w:space="0" w:color="auto"/>
                                        <w:left w:val="none" w:sz="0" w:space="0" w:color="auto"/>
                                        <w:bottom w:val="none" w:sz="0" w:space="0" w:color="auto"/>
                                        <w:right w:val="none" w:sz="0" w:space="0" w:color="auto"/>
                                      </w:divBdr>
                                      <w:divsChild>
                                        <w:div w:id="1850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467440">
      <w:bodyDiv w:val="1"/>
      <w:marLeft w:val="0"/>
      <w:marRight w:val="0"/>
      <w:marTop w:val="0"/>
      <w:marBottom w:val="0"/>
      <w:divBdr>
        <w:top w:val="none" w:sz="0" w:space="0" w:color="auto"/>
        <w:left w:val="none" w:sz="0" w:space="0" w:color="auto"/>
        <w:bottom w:val="none" w:sz="0" w:space="0" w:color="auto"/>
        <w:right w:val="none" w:sz="0" w:space="0" w:color="auto"/>
      </w:divBdr>
    </w:div>
    <w:div w:id="208810219">
      <w:bodyDiv w:val="1"/>
      <w:marLeft w:val="0"/>
      <w:marRight w:val="0"/>
      <w:marTop w:val="0"/>
      <w:marBottom w:val="0"/>
      <w:divBdr>
        <w:top w:val="none" w:sz="0" w:space="0" w:color="auto"/>
        <w:left w:val="none" w:sz="0" w:space="0" w:color="auto"/>
        <w:bottom w:val="none" w:sz="0" w:space="0" w:color="auto"/>
        <w:right w:val="none" w:sz="0" w:space="0" w:color="auto"/>
      </w:divBdr>
    </w:div>
    <w:div w:id="261762889">
      <w:bodyDiv w:val="1"/>
      <w:marLeft w:val="0"/>
      <w:marRight w:val="0"/>
      <w:marTop w:val="0"/>
      <w:marBottom w:val="0"/>
      <w:divBdr>
        <w:top w:val="none" w:sz="0" w:space="0" w:color="auto"/>
        <w:left w:val="none" w:sz="0" w:space="0" w:color="auto"/>
        <w:bottom w:val="none" w:sz="0" w:space="0" w:color="auto"/>
        <w:right w:val="none" w:sz="0" w:space="0" w:color="auto"/>
      </w:divBdr>
    </w:div>
    <w:div w:id="305597928">
      <w:bodyDiv w:val="1"/>
      <w:marLeft w:val="0"/>
      <w:marRight w:val="0"/>
      <w:marTop w:val="0"/>
      <w:marBottom w:val="0"/>
      <w:divBdr>
        <w:top w:val="none" w:sz="0" w:space="0" w:color="auto"/>
        <w:left w:val="none" w:sz="0" w:space="0" w:color="auto"/>
        <w:bottom w:val="none" w:sz="0" w:space="0" w:color="auto"/>
        <w:right w:val="none" w:sz="0" w:space="0" w:color="auto"/>
      </w:divBdr>
    </w:div>
    <w:div w:id="351616159">
      <w:bodyDiv w:val="1"/>
      <w:marLeft w:val="0"/>
      <w:marRight w:val="0"/>
      <w:marTop w:val="0"/>
      <w:marBottom w:val="0"/>
      <w:divBdr>
        <w:top w:val="none" w:sz="0" w:space="0" w:color="auto"/>
        <w:left w:val="none" w:sz="0" w:space="0" w:color="auto"/>
        <w:bottom w:val="none" w:sz="0" w:space="0" w:color="auto"/>
        <w:right w:val="none" w:sz="0" w:space="0" w:color="auto"/>
      </w:divBdr>
    </w:div>
    <w:div w:id="378558653">
      <w:bodyDiv w:val="1"/>
      <w:marLeft w:val="0"/>
      <w:marRight w:val="0"/>
      <w:marTop w:val="0"/>
      <w:marBottom w:val="0"/>
      <w:divBdr>
        <w:top w:val="none" w:sz="0" w:space="0" w:color="auto"/>
        <w:left w:val="none" w:sz="0" w:space="0" w:color="auto"/>
        <w:bottom w:val="none" w:sz="0" w:space="0" w:color="auto"/>
        <w:right w:val="none" w:sz="0" w:space="0" w:color="auto"/>
      </w:divBdr>
    </w:div>
    <w:div w:id="480344126">
      <w:bodyDiv w:val="1"/>
      <w:marLeft w:val="0"/>
      <w:marRight w:val="0"/>
      <w:marTop w:val="0"/>
      <w:marBottom w:val="0"/>
      <w:divBdr>
        <w:top w:val="none" w:sz="0" w:space="0" w:color="auto"/>
        <w:left w:val="none" w:sz="0" w:space="0" w:color="auto"/>
        <w:bottom w:val="none" w:sz="0" w:space="0" w:color="auto"/>
        <w:right w:val="none" w:sz="0" w:space="0" w:color="auto"/>
      </w:divBdr>
    </w:div>
    <w:div w:id="645744163">
      <w:bodyDiv w:val="1"/>
      <w:marLeft w:val="0"/>
      <w:marRight w:val="0"/>
      <w:marTop w:val="0"/>
      <w:marBottom w:val="0"/>
      <w:divBdr>
        <w:top w:val="none" w:sz="0" w:space="0" w:color="auto"/>
        <w:left w:val="none" w:sz="0" w:space="0" w:color="auto"/>
        <w:bottom w:val="none" w:sz="0" w:space="0" w:color="auto"/>
        <w:right w:val="none" w:sz="0" w:space="0" w:color="auto"/>
      </w:divBdr>
    </w:div>
    <w:div w:id="668404275">
      <w:bodyDiv w:val="1"/>
      <w:marLeft w:val="0"/>
      <w:marRight w:val="0"/>
      <w:marTop w:val="0"/>
      <w:marBottom w:val="0"/>
      <w:divBdr>
        <w:top w:val="none" w:sz="0" w:space="0" w:color="auto"/>
        <w:left w:val="none" w:sz="0" w:space="0" w:color="auto"/>
        <w:bottom w:val="none" w:sz="0" w:space="0" w:color="auto"/>
        <w:right w:val="none" w:sz="0" w:space="0" w:color="auto"/>
      </w:divBdr>
      <w:divsChild>
        <w:div w:id="703478919">
          <w:marLeft w:val="0"/>
          <w:marRight w:val="0"/>
          <w:marTop w:val="0"/>
          <w:marBottom w:val="0"/>
          <w:divBdr>
            <w:top w:val="none" w:sz="0" w:space="0" w:color="auto"/>
            <w:left w:val="none" w:sz="0" w:space="0" w:color="auto"/>
            <w:bottom w:val="none" w:sz="0" w:space="0" w:color="auto"/>
            <w:right w:val="none" w:sz="0" w:space="0" w:color="auto"/>
          </w:divBdr>
          <w:divsChild>
            <w:div w:id="270629094">
              <w:marLeft w:val="0"/>
              <w:marRight w:val="0"/>
              <w:marTop w:val="0"/>
              <w:marBottom w:val="0"/>
              <w:divBdr>
                <w:top w:val="none" w:sz="0" w:space="0" w:color="auto"/>
                <w:left w:val="none" w:sz="0" w:space="0" w:color="auto"/>
                <w:bottom w:val="none" w:sz="0" w:space="0" w:color="auto"/>
                <w:right w:val="none" w:sz="0" w:space="0" w:color="auto"/>
              </w:divBdr>
              <w:divsChild>
                <w:div w:id="2038695556">
                  <w:marLeft w:val="0"/>
                  <w:marRight w:val="0"/>
                  <w:marTop w:val="0"/>
                  <w:marBottom w:val="0"/>
                  <w:divBdr>
                    <w:top w:val="none" w:sz="0" w:space="0" w:color="auto"/>
                    <w:left w:val="none" w:sz="0" w:space="0" w:color="auto"/>
                    <w:bottom w:val="none" w:sz="0" w:space="0" w:color="auto"/>
                    <w:right w:val="none" w:sz="0" w:space="0" w:color="auto"/>
                  </w:divBdr>
                  <w:divsChild>
                    <w:div w:id="962345511">
                      <w:marLeft w:val="0"/>
                      <w:marRight w:val="0"/>
                      <w:marTop w:val="0"/>
                      <w:marBottom w:val="0"/>
                      <w:divBdr>
                        <w:top w:val="none" w:sz="0" w:space="0" w:color="auto"/>
                        <w:left w:val="none" w:sz="0" w:space="0" w:color="auto"/>
                        <w:bottom w:val="none" w:sz="0" w:space="0" w:color="auto"/>
                        <w:right w:val="none" w:sz="0" w:space="0" w:color="auto"/>
                      </w:divBdr>
                      <w:divsChild>
                        <w:div w:id="1533154120">
                          <w:marLeft w:val="0"/>
                          <w:marRight w:val="0"/>
                          <w:marTop w:val="0"/>
                          <w:marBottom w:val="0"/>
                          <w:divBdr>
                            <w:top w:val="none" w:sz="0" w:space="0" w:color="auto"/>
                            <w:left w:val="none" w:sz="0" w:space="0" w:color="auto"/>
                            <w:bottom w:val="none" w:sz="0" w:space="0" w:color="auto"/>
                            <w:right w:val="none" w:sz="0" w:space="0" w:color="auto"/>
                          </w:divBdr>
                          <w:divsChild>
                            <w:div w:id="224530789">
                              <w:marLeft w:val="0"/>
                              <w:marRight w:val="0"/>
                              <w:marTop w:val="0"/>
                              <w:marBottom w:val="0"/>
                              <w:divBdr>
                                <w:top w:val="none" w:sz="0" w:space="0" w:color="auto"/>
                                <w:left w:val="none" w:sz="0" w:space="0" w:color="auto"/>
                                <w:bottom w:val="none" w:sz="0" w:space="0" w:color="auto"/>
                                <w:right w:val="none" w:sz="0" w:space="0" w:color="auto"/>
                              </w:divBdr>
                              <w:divsChild>
                                <w:div w:id="625623839">
                                  <w:marLeft w:val="0"/>
                                  <w:marRight w:val="0"/>
                                  <w:marTop w:val="0"/>
                                  <w:marBottom w:val="0"/>
                                  <w:divBdr>
                                    <w:top w:val="none" w:sz="0" w:space="0" w:color="auto"/>
                                    <w:left w:val="none" w:sz="0" w:space="0" w:color="auto"/>
                                    <w:bottom w:val="none" w:sz="0" w:space="0" w:color="auto"/>
                                    <w:right w:val="none" w:sz="0" w:space="0" w:color="auto"/>
                                  </w:divBdr>
                                  <w:divsChild>
                                    <w:div w:id="318467324">
                                      <w:marLeft w:val="0"/>
                                      <w:marRight w:val="0"/>
                                      <w:marTop w:val="0"/>
                                      <w:marBottom w:val="0"/>
                                      <w:divBdr>
                                        <w:top w:val="none" w:sz="0" w:space="0" w:color="auto"/>
                                        <w:left w:val="none" w:sz="0" w:space="0" w:color="auto"/>
                                        <w:bottom w:val="none" w:sz="0" w:space="0" w:color="auto"/>
                                        <w:right w:val="none" w:sz="0" w:space="0" w:color="auto"/>
                                      </w:divBdr>
                                      <w:divsChild>
                                        <w:div w:id="588269386">
                                          <w:marLeft w:val="0"/>
                                          <w:marRight w:val="0"/>
                                          <w:marTop w:val="0"/>
                                          <w:marBottom w:val="0"/>
                                          <w:divBdr>
                                            <w:top w:val="none" w:sz="0" w:space="0" w:color="auto"/>
                                            <w:left w:val="none" w:sz="0" w:space="0" w:color="auto"/>
                                            <w:bottom w:val="none" w:sz="0" w:space="0" w:color="auto"/>
                                            <w:right w:val="none" w:sz="0" w:space="0" w:color="auto"/>
                                          </w:divBdr>
                                        </w:div>
                                        <w:div w:id="641740179">
                                          <w:marLeft w:val="0"/>
                                          <w:marRight w:val="0"/>
                                          <w:marTop w:val="0"/>
                                          <w:marBottom w:val="0"/>
                                          <w:divBdr>
                                            <w:top w:val="none" w:sz="0" w:space="0" w:color="auto"/>
                                            <w:left w:val="none" w:sz="0" w:space="0" w:color="auto"/>
                                            <w:bottom w:val="none" w:sz="0" w:space="0" w:color="auto"/>
                                            <w:right w:val="none" w:sz="0" w:space="0" w:color="auto"/>
                                          </w:divBdr>
                                          <w:divsChild>
                                            <w:div w:id="569770205">
                                              <w:marLeft w:val="0"/>
                                              <w:marRight w:val="0"/>
                                              <w:marTop w:val="0"/>
                                              <w:marBottom w:val="0"/>
                                              <w:divBdr>
                                                <w:top w:val="none" w:sz="0" w:space="0" w:color="auto"/>
                                                <w:left w:val="none" w:sz="0" w:space="0" w:color="auto"/>
                                                <w:bottom w:val="none" w:sz="0" w:space="0" w:color="auto"/>
                                                <w:right w:val="none" w:sz="0" w:space="0" w:color="auto"/>
                                              </w:divBdr>
                                              <w:divsChild>
                                                <w:div w:id="550071337">
                                                  <w:marLeft w:val="0"/>
                                                  <w:marRight w:val="0"/>
                                                  <w:marTop w:val="0"/>
                                                  <w:marBottom w:val="0"/>
                                                  <w:divBdr>
                                                    <w:top w:val="none" w:sz="0" w:space="0" w:color="auto"/>
                                                    <w:left w:val="none" w:sz="0" w:space="0" w:color="auto"/>
                                                    <w:bottom w:val="none" w:sz="0" w:space="0" w:color="auto"/>
                                                    <w:right w:val="none" w:sz="0" w:space="0" w:color="auto"/>
                                                  </w:divBdr>
                                                </w:div>
                                                <w:div w:id="1591037455">
                                                  <w:marLeft w:val="0"/>
                                                  <w:marRight w:val="0"/>
                                                  <w:marTop w:val="0"/>
                                                  <w:marBottom w:val="0"/>
                                                  <w:divBdr>
                                                    <w:top w:val="single" w:sz="12" w:space="0" w:color="E7E3E3"/>
                                                    <w:left w:val="single" w:sz="12" w:space="0" w:color="E7E3E3"/>
                                                    <w:bottom w:val="single" w:sz="12" w:space="0" w:color="E7E3E3"/>
                                                    <w:right w:val="single" w:sz="12" w:space="0" w:color="E7E3E3"/>
                                                  </w:divBdr>
                                                </w:div>
                                                <w:div w:id="20664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20236">
                                          <w:marLeft w:val="0"/>
                                          <w:marRight w:val="0"/>
                                          <w:marTop w:val="0"/>
                                          <w:marBottom w:val="0"/>
                                          <w:divBdr>
                                            <w:top w:val="none" w:sz="0" w:space="0" w:color="auto"/>
                                            <w:left w:val="none" w:sz="0" w:space="0" w:color="auto"/>
                                            <w:bottom w:val="none" w:sz="0" w:space="0" w:color="auto"/>
                                            <w:right w:val="none" w:sz="0" w:space="0" w:color="auto"/>
                                          </w:divBdr>
                                          <w:divsChild>
                                            <w:div w:id="617221616">
                                              <w:marLeft w:val="0"/>
                                              <w:marRight w:val="0"/>
                                              <w:marTop w:val="0"/>
                                              <w:marBottom w:val="0"/>
                                              <w:divBdr>
                                                <w:top w:val="none" w:sz="0" w:space="0" w:color="auto"/>
                                                <w:left w:val="none" w:sz="0" w:space="0" w:color="auto"/>
                                                <w:bottom w:val="none" w:sz="0" w:space="0" w:color="auto"/>
                                                <w:right w:val="none" w:sz="0" w:space="0" w:color="auto"/>
                                              </w:divBdr>
                                              <w:divsChild>
                                                <w:div w:id="1931115499">
                                                  <w:marLeft w:val="0"/>
                                                  <w:marRight w:val="0"/>
                                                  <w:marTop w:val="0"/>
                                                  <w:marBottom w:val="0"/>
                                                  <w:divBdr>
                                                    <w:top w:val="none" w:sz="0" w:space="0" w:color="auto"/>
                                                    <w:left w:val="none" w:sz="0" w:space="0" w:color="auto"/>
                                                    <w:bottom w:val="none" w:sz="0" w:space="0" w:color="auto"/>
                                                    <w:right w:val="none" w:sz="0" w:space="0" w:color="auto"/>
                                                  </w:divBdr>
                                                  <w:divsChild>
                                                    <w:div w:id="10359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4076">
                                              <w:marLeft w:val="0"/>
                                              <w:marRight w:val="0"/>
                                              <w:marTop w:val="0"/>
                                              <w:marBottom w:val="0"/>
                                              <w:divBdr>
                                                <w:top w:val="none" w:sz="0" w:space="0" w:color="auto"/>
                                                <w:left w:val="none" w:sz="0" w:space="0" w:color="auto"/>
                                                <w:bottom w:val="none" w:sz="0" w:space="0" w:color="auto"/>
                                                <w:right w:val="none" w:sz="0" w:space="0" w:color="auto"/>
                                              </w:divBdr>
                                              <w:divsChild>
                                                <w:div w:id="1802844943">
                                                  <w:marLeft w:val="0"/>
                                                  <w:marRight w:val="0"/>
                                                  <w:marTop w:val="0"/>
                                                  <w:marBottom w:val="0"/>
                                                  <w:divBdr>
                                                    <w:top w:val="none" w:sz="0" w:space="0" w:color="auto"/>
                                                    <w:left w:val="none" w:sz="0" w:space="0" w:color="auto"/>
                                                    <w:bottom w:val="none" w:sz="0" w:space="0" w:color="auto"/>
                                                    <w:right w:val="none" w:sz="0" w:space="0" w:color="auto"/>
                                                  </w:divBdr>
                                                  <w:divsChild>
                                                    <w:div w:id="220680194">
                                                      <w:marLeft w:val="0"/>
                                                      <w:marRight w:val="0"/>
                                                      <w:marTop w:val="0"/>
                                                      <w:marBottom w:val="0"/>
                                                      <w:divBdr>
                                                        <w:top w:val="none" w:sz="0" w:space="0" w:color="auto"/>
                                                        <w:left w:val="none" w:sz="0" w:space="0" w:color="auto"/>
                                                        <w:bottom w:val="none" w:sz="0" w:space="0" w:color="auto"/>
                                                        <w:right w:val="none" w:sz="0" w:space="0" w:color="auto"/>
                                                      </w:divBdr>
                                                      <w:divsChild>
                                                        <w:div w:id="1762601213">
                                                          <w:marLeft w:val="0"/>
                                                          <w:marRight w:val="0"/>
                                                          <w:marTop w:val="0"/>
                                                          <w:marBottom w:val="0"/>
                                                          <w:divBdr>
                                                            <w:top w:val="none" w:sz="0" w:space="0" w:color="auto"/>
                                                            <w:left w:val="none" w:sz="0" w:space="0" w:color="auto"/>
                                                            <w:bottom w:val="none" w:sz="0" w:space="0" w:color="auto"/>
                                                            <w:right w:val="none" w:sz="0" w:space="0" w:color="auto"/>
                                                          </w:divBdr>
                                                          <w:divsChild>
                                                            <w:div w:id="1848863377">
                                                              <w:marLeft w:val="0"/>
                                                              <w:marRight w:val="0"/>
                                                              <w:marTop w:val="0"/>
                                                              <w:marBottom w:val="0"/>
                                                              <w:divBdr>
                                                                <w:top w:val="none" w:sz="0" w:space="0" w:color="auto"/>
                                                                <w:left w:val="none" w:sz="0" w:space="0" w:color="auto"/>
                                                                <w:bottom w:val="none" w:sz="0" w:space="0" w:color="auto"/>
                                                                <w:right w:val="none" w:sz="0" w:space="0" w:color="auto"/>
                                                              </w:divBdr>
                                                              <w:divsChild>
                                                                <w:div w:id="19354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9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615852">
      <w:bodyDiv w:val="1"/>
      <w:marLeft w:val="0"/>
      <w:marRight w:val="0"/>
      <w:marTop w:val="0"/>
      <w:marBottom w:val="0"/>
      <w:divBdr>
        <w:top w:val="none" w:sz="0" w:space="0" w:color="auto"/>
        <w:left w:val="none" w:sz="0" w:space="0" w:color="auto"/>
        <w:bottom w:val="none" w:sz="0" w:space="0" w:color="auto"/>
        <w:right w:val="none" w:sz="0" w:space="0" w:color="auto"/>
      </w:divBdr>
      <w:divsChild>
        <w:div w:id="1569682128">
          <w:marLeft w:val="0"/>
          <w:marRight w:val="0"/>
          <w:marTop w:val="0"/>
          <w:marBottom w:val="0"/>
          <w:divBdr>
            <w:top w:val="none" w:sz="0" w:space="0" w:color="auto"/>
            <w:left w:val="none" w:sz="0" w:space="0" w:color="auto"/>
            <w:bottom w:val="none" w:sz="0" w:space="0" w:color="auto"/>
            <w:right w:val="none" w:sz="0" w:space="0" w:color="auto"/>
          </w:divBdr>
          <w:divsChild>
            <w:div w:id="260450639">
              <w:marLeft w:val="0"/>
              <w:marRight w:val="0"/>
              <w:marTop w:val="0"/>
              <w:marBottom w:val="0"/>
              <w:divBdr>
                <w:top w:val="none" w:sz="0" w:space="0" w:color="auto"/>
                <w:left w:val="none" w:sz="0" w:space="0" w:color="auto"/>
                <w:bottom w:val="none" w:sz="0" w:space="0" w:color="auto"/>
                <w:right w:val="none" w:sz="0" w:space="0" w:color="auto"/>
              </w:divBdr>
              <w:divsChild>
                <w:div w:id="1997151107">
                  <w:marLeft w:val="0"/>
                  <w:marRight w:val="0"/>
                  <w:marTop w:val="0"/>
                  <w:marBottom w:val="0"/>
                  <w:divBdr>
                    <w:top w:val="none" w:sz="0" w:space="0" w:color="auto"/>
                    <w:left w:val="none" w:sz="0" w:space="0" w:color="auto"/>
                    <w:bottom w:val="none" w:sz="0" w:space="0" w:color="auto"/>
                    <w:right w:val="none" w:sz="0" w:space="0" w:color="auto"/>
                  </w:divBdr>
                  <w:divsChild>
                    <w:div w:id="1844054707">
                      <w:marLeft w:val="0"/>
                      <w:marRight w:val="0"/>
                      <w:marTop w:val="0"/>
                      <w:marBottom w:val="0"/>
                      <w:divBdr>
                        <w:top w:val="none" w:sz="0" w:space="0" w:color="auto"/>
                        <w:left w:val="none" w:sz="0" w:space="0" w:color="auto"/>
                        <w:bottom w:val="none" w:sz="0" w:space="0" w:color="auto"/>
                        <w:right w:val="none" w:sz="0" w:space="0" w:color="auto"/>
                      </w:divBdr>
                      <w:divsChild>
                        <w:div w:id="1975062822">
                          <w:marLeft w:val="0"/>
                          <w:marRight w:val="0"/>
                          <w:marTop w:val="0"/>
                          <w:marBottom w:val="0"/>
                          <w:divBdr>
                            <w:top w:val="none" w:sz="0" w:space="0" w:color="auto"/>
                            <w:left w:val="none" w:sz="0" w:space="0" w:color="auto"/>
                            <w:bottom w:val="none" w:sz="0" w:space="0" w:color="auto"/>
                            <w:right w:val="none" w:sz="0" w:space="0" w:color="auto"/>
                          </w:divBdr>
                          <w:divsChild>
                            <w:div w:id="761267977">
                              <w:marLeft w:val="0"/>
                              <w:marRight w:val="0"/>
                              <w:marTop w:val="0"/>
                              <w:marBottom w:val="0"/>
                              <w:divBdr>
                                <w:top w:val="none" w:sz="0" w:space="0" w:color="auto"/>
                                <w:left w:val="none" w:sz="0" w:space="0" w:color="auto"/>
                                <w:bottom w:val="none" w:sz="0" w:space="0" w:color="auto"/>
                                <w:right w:val="none" w:sz="0" w:space="0" w:color="auto"/>
                              </w:divBdr>
                              <w:divsChild>
                                <w:div w:id="191578481">
                                  <w:marLeft w:val="0"/>
                                  <w:marRight w:val="0"/>
                                  <w:marTop w:val="0"/>
                                  <w:marBottom w:val="0"/>
                                  <w:divBdr>
                                    <w:top w:val="none" w:sz="0" w:space="0" w:color="auto"/>
                                    <w:left w:val="none" w:sz="0" w:space="0" w:color="auto"/>
                                    <w:bottom w:val="none" w:sz="0" w:space="0" w:color="auto"/>
                                    <w:right w:val="none" w:sz="0" w:space="0" w:color="auto"/>
                                  </w:divBdr>
                                  <w:divsChild>
                                    <w:div w:id="236594659">
                                      <w:marLeft w:val="0"/>
                                      <w:marRight w:val="0"/>
                                      <w:marTop w:val="0"/>
                                      <w:marBottom w:val="0"/>
                                      <w:divBdr>
                                        <w:top w:val="none" w:sz="0" w:space="0" w:color="auto"/>
                                        <w:left w:val="none" w:sz="0" w:space="0" w:color="auto"/>
                                        <w:bottom w:val="none" w:sz="0" w:space="0" w:color="auto"/>
                                        <w:right w:val="none" w:sz="0" w:space="0" w:color="auto"/>
                                      </w:divBdr>
                                      <w:divsChild>
                                        <w:div w:id="23679119">
                                          <w:marLeft w:val="0"/>
                                          <w:marRight w:val="0"/>
                                          <w:marTop w:val="0"/>
                                          <w:marBottom w:val="0"/>
                                          <w:divBdr>
                                            <w:top w:val="none" w:sz="0" w:space="0" w:color="auto"/>
                                            <w:left w:val="none" w:sz="0" w:space="0" w:color="auto"/>
                                            <w:bottom w:val="none" w:sz="0" w:space="0" w:color="auto"/>
                                            <w:right w:val="none" w:sz="0" w:space="0" w:color="auto"/>
                                          </w:divBdr>
                                          <w:divsChild>
                                            <w:div w:id="1342126100">
                                              <w:marLeft w:val="0"/>
                                              <w:marRight w:val="0"/>
                                              <w:marTop w:val="0"/>
                                              <w:marBottom w:val="0"/>
                                              <w:divBdr>
                                                <w:top w:val="none" w:sz="0" w:space="0" w:color="auto"/>
                                                <w:left w:val="none" w:sz="0" w:space="0" w:color="auto"/>
                                                <w:bottom w:val="none" w:sz="0" w:space="0" w:color="auto"/>
                                                <w:right w:val="none" w:sz="0" w:space="0" w:color="auto"/>
                                              </w:divBdr>
                                              <w:divsChild>
                                                <w:div w:id="1405028935">
                                                  <w:marLeft w:val="0"/>
                                                  <w:marRight w:val="0"/>
                                                  <w:marTop w:val="0"/>
                                                  <w:marBottom w:val="0"/>
                                                  <w:divBdr>
                                                    <w:top w:val="none" w:sz="0" w:space="0" w:color="auto"/>
                                                    <w:left w:val="none" w:sz="0" w:space="0" w:color="auto"/>
                                                    <w:bottom w:val="none" w:sz="0" w:space="0" w:color="auto"/>
                                                    <w:right w:val="none" w:sz="0" w:space="0" w:color="auto"/>
                                                  </w:divBdr>
                                                  <w:divsChild>
                                                    <w:div w:id="10227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635141">
      <w:bodyDiv w:val="1"/>
      <w:marLeft w:val="0"/>
      <w:marRight w:val="0"/>
      <w:marTop w:val="0"/>
      <w:marBottom w:val="0"/>
      <w:divBdr>
        <w:top w:val="none" w:sz="0" w:space="0" w:color="auto"/>
        <w:left w:val="none" w:sz="0" w:space="0" w:color="auto"/>
        <w:bottom w:val="none" w:sz="0" w:space="0" w:color="auto"/>
        <w:right w:val="none" w:sz="0" w:space="0" w:color="auto"/>
      </w:divBdr>
    </w:div>
    <w:div w:id="850418088">
      <w:bodyDiv w:val="1"/>
      <w:marLeft w:val="0"/>
      <w:marRight w:val="0"/>
      <w:marTop w:val="0"/>
      <w:marBottom w:val="0"/>
      <w:divBdr>
        <w:top w:val="none" w:sz="0" w:space="0" w:color="auto"/>
        <w:left w:val="none" w:sz="0" w:space="0" w:color="auto"/>
        <w:bottom w:val="none" w:sz="0" w:space="0" w:color="auto"/>
        <w:right w:val="none" w:sz="0" w:space="0" w:color="auto"/>
      </w:divBdr>
    </w:div>
    <w:div w:id="890266598">
      <w:bodyDiv w:val="1"/>
      <w:marLeft w:val="0"/>
      <w:marRight w:val="0"/>
      <w:marTop w:val="0"/>
      <w:marBottom w:val="0"/>
      <w:divBdr>
        <w:top w:val="none" w:sz="0" w:space="0" w:color="auto"/>
        <w:left w:val="none" w:sz="0" w:space="0" w:color="auto"/>
        <w:bottom w:val="none" w:sz="0" w:space="0" w:color="auto"/>
        <w:right w:val="none" w:sz="0" w:space="0" w:color="auto"/>
      </w:divBdr>
    </w:div>
    <w:div w:id="897977588">
      <w:bodyDiv w:val="1"/>
      <w:marLeft w:val="0"/>
      <w:marRight w:val="0"/>
      <w:marTop w:val="0"/>
      <w:marBottom w:val="0"/>
      <w:divBdr>
        <w:top w:val="none" w:sz="0" w:space="0" w:color="auto"/>
        <w:left w:val="none" w:sz="0" w:space="0" w:color="auto"/>
        <w:bottom w:val="none" w:sz="0" w:space="0" w:color="auto"/>
        <w:right w:val="none" w:sz="0" w:space="0" w:color="auto"/>
      </w:divBdr>
    </w:div>
    <w:div w:id="1086264516">
      <w:bodyDiv w:val="1"/>
      <w:marLeft w:val="0"/>
      <w:marRight w:val="0"/>
      <w:marTop w:val="0"/>
      <w:marBottom w:val="0"/>
      <w:divBdr>
        <w:top w:val="none" w:sz="0" w:space="0" w:color="auto"/>
        <w:left w:val="none" w:sz="0" w:space="0" w:color="auto"/>
        <w:bottom w:val="none" w:sz="0" w:space="0" w:color="auto"/>
        <w:right w:val="none" w:sz="0" w:space="0" w:color="auto"/>
      </w:divBdr>
    </w:div>
    <w:div w:id="1093547740">
      <w:bodyDiv w:val="1"/>
      <w:marLeft w:val="0"/>
      <w:marRight w:val="0"/>
      <w:marTop w:val="0"/>
      <w:marBottom w:val="0"/>
      <w:divBdr>
        <w:top w:val="none" w:sz="0" w:space="0" w:color="auto"/>
        <w:left w:val="none" w:sz="0" w:space="0" w:color="auto"/>
        <w:bottom w:val="none" w:sz="0" w:space="0" w:color="auto"/>
        <w:right w:val="none" w:sz="0" w:space="0" w:color="auto"/>
      </w:divBdr>
    </w:div>
    <w:div w:id="1118259882">
      <w:bodyDiv w:val="1"/>
      <w:marLeft w:val="0"/>
      <w:marRight w:val="0"/>
      <w:marTop w:val="0"/>
      <w:marBottom w:val="0"/>
      <w:divBdr>
        <w:top w:val="none" w:sz="0" w:space="0" w:color="auto"/>
        <w:left w:val="none" w:sz="0" w:space="0" w:color="auto"/>
        <w:bottom w:val="none" w:sz="0" w:space="0" w:color="auto"/>
        <w:right w:val="none" w:sz="0" w:space="0" w:color="auto"/>
      </w:divBdr>
    </w:div>
    <w:div w:id="1135759029">
      <w:bodyDiv w:val="1"/>
      <w:marLeft w:val="0"/>
      <w:marRight w:val="0"/>
      <w:marTop w:val="0"/>
      <w:marBottom w:val="0"/>
      <w:divBdr>
        <w:top w:val="none" w:sz="0" w:space="0" w:color="auto"/>
        <w:left w:val="none" w:sz="0" w:space="0" w:color="auto"/>
        <w:bottom w:val="none" w:sz="0" w:space="0" w:color="auto"/>
        <w:right w:val="none" w:sz="0" w:space="0" w:color="auto"/>
      </w:divBdr>
    </w:div>
    <w:div w:id="1303997033">
      <w:bodyDiv w:val="1"/>
      <w:marLeft w:val="0"/>
      <w:marRight w:val="0"/>
      <w:marTop w:val="0"/>
      <w:marBottom w:val="0"/>
      <w:divBdr>
        <w:top w:val="none" w:sz="0" w:space="0" w:color="auto"/>
        <w:left w:val="none" w:sz="0" w:space="0" w:color="auto"/>
        <w:bottom w:val="none" w:sz="0" w:space="0" w:color="auto"/>
        <w:right w:val="none" w:sz="0" w:space="0" w:color="auto"/>
      </w:divBdr>
    </w:div>
    <w:div w:id="1339964988">
      <w:bodyDiv w:val="1"/>
      <w:marLeft w:val="0"/>
      <w:marRight w:val="0"/>
      <w:marTop w:val="0"/>
      <w:marBottom w:val="0"/>
      <w:divBdr>
        <w:top w:val="none" w:sz="0" w:space="0" w:color="auto"/>
        <w:left w:val="none" w:sz="0" w:space="0" w:color="auto"/>
        <w:bottom w:val="none" w:sz="0" w:space="0" w:color="auto"/>
        <w:right w:val="none" w:sz="0" w:space="0" w:color="auto"/>
      </w:divBdr>
    </w:div>
    <w:div w:id="1340616231">
      <w:bodyDiv w:val="1"/>
      <w:marLeft w:val="0"/>
      <w:marRight w:val="0"/>
      <w:marTop w:val="0"/>
      <w:marBottom w:val="0"/>
      <w:divBdr>
        <w:top w:val="none" w:sz="0" w:space="0" w:color="auto"/>
        <w:left w:val="none" w:sz="0" w:space="0" w:color="auto"/>
        <w:bottom w:val="none" w:sz="0" w:space="0" w:color="auto"/>
        <w:right w:val="none" w:sz="0" w:space="0" w:color="auto"/>
      </w:divBdr>
    </w:div>
    <w:div w:id="1440642609">
      <w:bodyDiv w:val="1"/>
      <w:marLeft w:val="0"/>
      <w:marRight w:val="0"/>
      <w:marTop w:val="0"/>
      <w:marBottom w:val="0"/>
      <w:divBdr>
        <w:top w:val="none" w:sz="0" w:space="0" w:color="auto"/>
        <w:left w:val="none" w:sz="0" w:space="0" w:color="auto"/>
        <w:bottom w:val="none" w:sz="0" w:space="0" w:color="auto"/>
        <w:right w:val="none" w:sz="0" w:space="0" w:color="auto"/>
      </w:divBdr>
    </w:div>
    <w:div w:id="1668510376">
      <w:bodyDiv w:val="1"/>
      <w:marLeft w:val="0"/>
      <w:marRight w:val="0"/>
      <w:marTop w:val="0"/>
      <w:marBottom w:val="0"/>
      <w:divBdr>
        <w:top w:val="none" w:sz="0" w:space="0" w:color="auto"/>
        <w:left w:val="none" w:sz="0" w:space="0" w:color="auto"/>
        <w:bottom w:val="none" w:sz="0" w:space="0" w:color="auto"/>
        <w:right w:val="none" w:sz="0" w:space="0" w:color="auto"/>
      </w:divBdr>
    </w:div>
    <w:div w:id="1726485293">
      <w:bodyDiv w:val="1"/>
      <w:marLeft w:val="0"/>
      <w:marRight w:val="0"/>
      <w:marTop w:val="0"/>
      <w:marBottom w:val="0"/>
      <w:divBdr>
        <w:top w:val="none" w:sz="0" w:space="0" w:color="auto"/>
        <w:left w:val="none" w:sz="0" w:space="0" w:color="auto"/>
        <w:bottom w:val="none" w:sz="0" w:space="0" w:color="auto"/>
        <w:right w:val="none" w:sz="0" w:space="0" w:color="auto"/>
      </w:divBdr>
    </w:div>
    <w:div w:id="1811940449">
      <w:bodyDiv w:val="1"/>
      <w:marLeft w:val="0"/>
      <w:marRight w:val="0"/>
      <w:marTop w:val="0"/>
      <w:marBottom w:val="0"/>
      <w:divBdr>
        <w:top w:val="none" w:sz="0" w:space="0" w:color="auto"/>
        <w:left w:val="none" w:sz="0" w:space="0" w:color="auto"/>
        <w:bottom w:val="none" w:sz="0" w:space="0" w:color="auto"/>
        <w:right w:val="none" w:sz="0" w:space="0" w:color="auto"/>
      </w:divBdr>
    </w:div>
    <w:div w:id="1838105675">
      <w:bodyDiv w:val="1"/>
      <w:marLeft w:val="0"/>
      <w:marRight w:val="0"/>
      <w:marTop w:val="0"/>
      <w:marBottom w:val="0"/>
      <w:divBdr>
        <w:top w:val="none" w:sz="0" w:space="0" w:color="auto"/>
        <w:left w:val="none" w:sz="0" w:space="0" w:color="auto"/>
        <w:bottom w:val="none" w:sz="0" w:space="0" w:color="auto"/>
        <w:right w:val="none" w:sz="0" w:space="0" w:color="auto"/>
      </w:divBdr>
    </w:div>
    <w:div w:id="1857110116">
      <w:bodyDiv w:val="1"/>
      <w:marLeft w:val="0"/>
      <w:marRight w:val="0"/>
      <w:marTop w:val="0"/>
      <w:marBottom w:val="0"/>
      <w:divBdr>
        <w:top w:val="none" w:sz="0" w:space="0" w:color="auto"/>
        <w:left w:val="none" w:sz="0" w:space="0" w:color="auto"/>
        <w:bottom w:val="none" w:sz="0" w:space="0" w:color="auto"/>
        <w:right w:val="none" w:sz="0" w:space="0" w:color="auto"/>
      </w:divBdr>
      <w:divsChild>
        <w:div w:id="2069302192">
          <w:marLeft w:val="0"/>
          <w:marRight w:val="0"/>
          <w:marTop w:val="0"/>
          <w:marBottom w:val="0"/>
          <w:divBdr>
            <w:top w:val="none" w:sz="0" w:space="0" w:color="auto"/>
            <w:left w:val="none" w:sz="0" w:space="0" w:color="auto"/>
            <w:bottom w:val="none" w:sz="0" w:space="0" w:color="auto"/>
            <w:right w:val="none" w:sz="0" w:space="0" w:color="auto"/>
          </w:divBdr>
          <w:divsChild>
            <w:div w:id="2038457621">
              <w:marLeft w:val="0"/>
              <w:marRight w:val="0"/>
              <w:marTop w:val="0"/>
              <w:marBottom w:val="0"/>
              <w:divBdr>
                <w:top w:val="none" w:sz="0" w:space="0" w:color="auto"/>
                <w:left w:val="none" w:sz="0" w:space="0" w:color="auto"/>
                <w:bottom w:val="none" w:sz="0" w:space="0" w:color="auto"/>
                <w:right w:val="none" w:sz="0" w:space="0" w:color="auto"/>
              </w:divBdr>
              <w:divsChild>
                <w:div w:id="208802240">
                  <w:marLeft w:val="0"/>
                  <w:marRight w:val="0"/>
                  <w:marTop w:val="0"/>
                  <w:marBottom w:val="0"/>
                  <w:divBdr>
                    <w:top w:val="none" w:sz="0" w:space="0" w:color="auto"/>
                    <w:left w:val="none" w:sz="0" w:space="0" w:color="auto"/>
                    <w:bottom w:val="none" w:sz="0" w:space="0" w:color="auto"/>
                    <w:right w:val="none" w:sz="0" w:space="0" w:color="auto"/>
                  </w:divBdr>
                  <w:divsChild>
                    <w:div w:id="315229545">
                      <w:marLeft w:val="0"/>
                      <w:marRight w:val="0"/>
                      <w:marTop w:val="0"/>
                      <w:marBottom w:val="0"/>
                      <w:divBdr>
                        <w:top w:val="none" w:sz="0" w:space="0" w:color="auto"/>
                        <w:left w:val="none" w:sz="0" w:space="0" w:color="auto"/>
                        <w:bottom w:val="none" w:sz="0" w:space="0" w:color="auto"/>
                        <w:right w:val="none" w:sz="0" w:space="0" w:color="auto"/>
                      </w:divBdr>
                      <w:divsChild>
                        <w:div w:id="1218083732">
                          <w:marLeft w:val="0"/>
                          <w:marRight w:val="0"/>
                          <w:marTop w:val="0"/>
                          <w:marBottom w:val="0"/>
                          <w:divBdr>
                            <w:top w:val="none" w:sz="0" w:space="0" w:color="auto"/>
                            <w:left w:val="none" w:sz="0" w:space="0" w:color="auto"/>
                            <w:bottom w:val="none" w:sz="0" w:space="0" w:color="auto"/>
                            <w:right w:val="none" w:sz="0" w:space="0" w:color="auto"/>
                          </w:divBdr>
                          <w:divsChild>
                            <w:div w:id="548886189">
                              <w:marLeft w:val="0"/>
                              <w:marRight w:val="0"/>
                              <w:marTop w:val="0"/>
                              <w:marBottom w:val="0"/>
                              <w:divBdr>
                                <w:top w:val="none" w:sz="0" w:space="0" w:color="auto"/>
                                <w:left w:val="none" w:sz="0" w:space="0" w:color="auto"/>
                                <w:bottom w:val="none" w:sz="0" w:space="0" w:color="auto"/>
                                <w:right w:val="none" w:sz="0" w:space="0" w:color="auto"/>
                              </w:divBdr>
                              <w:divsChild>
                                <w:div w:id="1869446554">
                                  <w:marLeft w:val="0"/>
                                  <w:marRight w:val="0"/>
                                  <w:marTop w:val="0"/>
                                  <w:marBottom w:val="0"/>
                                  <w:divBdr>
                                    <w:top w:val="none" w:sz="0" w:space="0" w:color="auto"/>
                                    <w:left w:val="none" w:sz="0" w:space="0" w:color="auto"/>
                                    <w:bottom w:val="none" w:sz="0" w:space="0" w:color="auto"/>
                                    <w:right w:val="none" w:sz="0" w:space="0" w:color="auto"/>
                                  </w:divBdr>
                                  <w:divsChild>
                                    <w:div w:id="49230888">
                                      <w:marLeft w:val="0"/>
                                      <w:marRight w:val="0"/>
                                      <w:marTop w:val="0"/>
                                      <w:marBottom w:val="0"/>
                                      <w:divBdr>
                                        <w:top w:val="none" w:sz="0" w:space="0" w:color="auto"/>
                                        <w:left w:val="none" w:sz="0" w:space="0" w:color="auto"/>
                                        <w:bottom w:val="none" w:sz="0" w:space="0" w:color="auto"/>
                                        <w:right w:val="none" w:sz="0" w:space="0" w:color="auto"/>
                                      </w:divBdr>
                                      <w:divsChild>
                                        <w:div w:id="776678260">
                                          <w:marLeft w:val="0"/>
                                          <w:marRight w:val="0"/>
                                          <w:marTop w:val="0"/>
                                          <w:marBottom w:val="0"/>
                                          <w:divBdr>
                                            <w:top w:val="none" w:sz="0" w:space="0" w:color="auto"/>
                                            <w:left w:val="none" w:sz="0" w:space="0" w:color="auto"/>
                                            <w:bottom w:val="none" w:sz="0" w:space="0" w:color="auto"/>
                                            <w:right w:val="none" w:sz="0" w:space="0" w:color="auto"/>
                                          </w:divBdr>
                                          <w:divsChild>
                                            <w:div w:id="2069841556">
                                              <w:marLeft w:val="0"/>
                                              <w:marRight w:val="0"/>
                                              <w:marTop w:val="0"/>
                                              <w:marBottom w:val="0"/>
                                              <w:divBdr>
                                                <w:top w:val="none" w:sz="0" w:space="0" w:color="auto"/>
                                                <w:left w:val="none" w:sz="0" w:space="0" w:color="auto"/>
                                                <w:bottom w:val="none" w:sz="0" w:space="0" w:color="auto"/>
                                                <w:right w:val="none" w:sz="0" w:space="0" w:color="auto"/>
                                              </w:divBdr>
                                              <w:divsChild>
                                                <w:div w:id="1762993478">
                                                  <w:marLeft w:val="0"/>
                                                  <w:marRight w:val="0"/>
                                                  <w:marTop w:val="0"/>
                                                  <w:marBottom w:val="0"/>
                                                  <w:divBdr>
                                                    <w:top w:val="single" w:sz="12" w:space="0" w:color="E7E3E3"/>
                                                    <w:left w:val="single" w:sz="12" w:space="0" w:color="E7E3E3"/>
                                                    <w:bottom w:val="single" w:sz="12" w:space="0" w:color="E7E3E3"/>
                                                    <w:right w:val="single" w:sz="12" w:space="0" w:color="E7E3E3"/>
                                                  </w:divBdr>
                                                </w:div>
                                                <w:div w:id="1923945970">
                                                  <w:marLeft w:val="0"/>
                                                  <w:marRight w:val="0"/>
                                                  <w:marTop w:val="0"/>
                                                  <w:marBottom w:val="0"/>
                                                  <w:divBdr>
                                                    <w:top w:val="none" w:sz="0" w:space="0" w:color="auto"/>
                                                    <w:left w:val="none" w:sz="0" w:space="0" w:color="auto"/>
                                                    <w:bottom w:val="none" w:sz="0" w:space="0" w:color="auto"/>
                                                    <w:right w:val="none" w:sz="0" w:space="0" w:color="auto"/>
                                                  </w:divBdr>
                                                </w:div>
                                                <w:div w:id="20358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8940">
                                          <w:marLeft w:val="0"/>
                                          <w:marRight w:val="0"/>
                                          <w:marTop w:val="0"/>
                                          <w:marBottom w:val="0"/>
                                          <w:divBdr>
                                            <w:top w:val="none" w:sz="0" w:space="0" w:color="auto"/>
                                            <w:left w:val="none" w:sz="0" w:space="0" w:color="auto"/>
                                            <w:bottom w:val="none" w:sz="0" w:space="0" w:color="auto"/>
                                            <w:right w:val="none" w:sz="0" w:space="0" w:color="auto"/>
                                          </w:divBdr>
                                        </w:div>
                                        <w:div w:id="1246458374">
                                          <w:marLeft w:val="0"/>
                                          <w:marRight w:val="0"/>
                                          <w:marTop w:val="0"/>
                                          <w:marBottom w:val="0"/>
                                          <w:divBdr>
                                            <w:top w:val="none" w:sz="0" w:space="0" w:color="auto"/>
                                            <w:left w:val="none" w:sz="0" w:space="0" w:color="auto"/>
                                            <w:bottom w:val="none" w:sz="0" w:space="0" w:color="auto"/>
                                            <w:right w:val="none" w:sz="0" w:space="0" w:color="auto"/>
                                          </w:divBdr>
                                          <w:divsChild>
                                            <w:div w:id="195781298">
                                              <w:marLeft w:val="0"/>
                                              <w:marRight w:val="0"/>
                                              <w:marTop w:val="0"/>
                                              <w:marBottom w:val="0"/>
                                              <w:divBdr>
                                                <w:top w:val="none" w:sz="0" w:space="0" w:color="auto"/>
                                                <w:left w:val="none" w:sz="0" w:space="0" w:color="auto"/>
                                                <w:bottom w:val="none" w:sz="0" w:space="0" w:color="auto"/>
                                                <w:right w:val="none" w:sz="0" w:space="0" w:color="auto"/>
                                              </w:divBdr>
                                              <w:divsChild>
                                                <w:div w:id="833837242">
                                                  <w:marLeft w:val="0"/>
                                                  <w:marRight w:val="0"/>
                                                  <w:marTop w:val="0"/>
                                                  <w:marBottom w:val="0"/>
                                                  <w:divBdr>
                                                    <w:top w:val="none" w:sz="0" w:space="0" w:color="auto"/>
                                                    <w:left w:val="none" w:sz="0" w:space="0" w:color="auto"/>
                                                    <w:bottom w:val="none" w:sz="0" w:space="0" w:color="auto"/>
                                                    <w:right w:val="none" w:sz="0" w:space="0" w:color="auto"/>
                                                  </w:divBdr>
                                                  <w:divsChild>
                                                    <w:div w:id="569653333">
                                                      <w:marLeft w:val="0"/>
                                                      <w:marRight w:val="0"/>
                                                      <w:marTop w:val="0"/>
                                                      <w:marBottom w:val="0"/>
                                                      <w:divBdr>
                                                        <w:top w:val="none" w:sz="0" w:space="0" w:color="auto"/>
                                                        <w:left w:val="none" w:sz="0" w:space="0" w:color="auto"/>
                                                        <w:bottom w:val="none" w:sz="0" w:space="0" w:color="auto"/>
                                                        <w:right w:val="none" w:sz="0" w:space="0" w:color="auto"/>
                                                      </w:divBdr>
                                                      <w:divsChild>
                                                        <w:div w:id="1973368957">
                                                          <w:marLeft w:val="0"/>
                                                          <w:marRight w:val="0"/>
                                                          <w:marTop w:val="0"/>
                                                          <w:marBottom w:val="0"/>
                                                          <w:divBdr>
                                                            <w:top w:val="none" w:sz="0" w:space="0" w:color="auto"/>
                                                            <w:left w:val="none" w:sz="0" w:space="0" w:color="auto"/>
                                                            <w:bottom w:val="none" w:sz="0" w:space="0" w:color="auto"/>
                                                            <w:right w:val="none" w:sz="0" w:space="0" w:color="auto"/>
                                                          </w:divBdr>
                                                          <w:divsChild>
                                                            <w:div w:id="509176138">
                                                              <w:marLeft w:val="0"/>
                                                              <w:marRight w:val="0"/>
                                                              <w:marTop w:val="0"/>
                                                              <w:marBottom w:val="0"/>
                                                              <w:divBdr>
                                                                <w:top w:val="none" w:sz="0" w:space="0" w:color="auto"/>
                                                                <w:left w:val="none" w:sz="0" w:space="0" w:color="auto"/>
                                                                <w:bottom w:val="none" w:sz="0" w:space="0" w:color="auto"/>
                                                                <w:right w:val="none" w:sz="0" w:space="0" w:color="auto"/>
                                                              </w:divBdr>
                                                              <w:divsChild>
                                                                <w:div w:id="4233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725426">
                                              <w:marLeft w:val="0"/>
                                              <w:marRight w:val="0"/>
                                              <w:marTop w:val="0"/>
                                              <w:marBottom w:val="0"/>
                                              <w:divBdr>
                                                <w:top w:val="none" w:sz="0" w:space="0" w:color="auto"/>
                                                <w:left w:val="none" w:sz="0" w:space="0" w:color="auto"/>
                                                <w:bottom w:val="none" w:sz="0" w:space="0" w:color="auto"/>
                                                <w:right w:val="none" w:sz="0" w:space="0" w:color="auto"/>
                                              </w:divBdr>
                                              <w:divsChild>
                                                <w:div w:id="984510101">
                                                  <w:marLeft w:val="0"/>
                                                  <w:marRight w:val="0"/>
                                                  <w:marTop w:val="0"/>
                                                  <w:marBottom w:val="0"/>
                                                  <w:divBdr>
                                                    <w:top w:val="none" w:sz="0" w:space="0" w:color="auto"/>
                                                    <w:left w:val="none" w:sz="0" w:space="0" w:color="auto"/>
                                                    <w:bottom w:val="none" w:sz="0" w:space="0" w:color="auto"/>
                                                    <w:right w:val="none" w:sz="0" w:space="0" w:color="auto"/>
                                                  </w:divBdr>
                                                  <w:divsChild>
                                                    <w:div w:id="20947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451373">
      <w:bodyDiv w:val="1"/>
      <w:marLeft w:val="0"/>
      <w:marRight w:val="0"/>
      <w:marTop w:val="0"/>
      <w:marBottom w:val="0"/>
      <w:divBdr>
        <w:top w:val="none" w:sz="0" w:space="0" w:color="auto"/>
        <w:left w:val="none" w:sz="0" w:space="0" w:color="auto"/>
        <w:bottom w:val="none" w:sz="0" w:space="0" w:color="auto"/>
        <w:right w:val="none" w:sz="0" w:space="0" w:color="auto"/>
      </w:divBdr>
    </w:div>
    <w:div w:id="213617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tgb.de/publikationen/positionspapiere/" TargetMode="External"/><Relationship Id="rId13" Type="http://schemas.openxmlformats.org/officeDocument/2006/relationships/hyperlink" Target="https://www.dstgb.de/themen/finanzen/kommunalfinanzen/ver-di-und-der-dstgb-fordern-zweiten-rettungsschirm/" TargetMode="External"/><Relationship Id="rId18" Type="http://schemas.openxmlformats.org/officeDocument/2006/relationships/hyperlink" Target="http://www.zentrum-klimaanpassung.de" TargetMode="External"/><Relationship Id="rId26" Type="http://schemas.openxmlformats.org/officeDocument/2006/relationships/hyperlink" Target="https://www.dstgb.de/themen/mobilitaet/aktuelles/high-level-meeting-des-buendnisses-fuer-moderne-mobilitaet/"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dstgb.de/aktuelles/archiv/archiv-2020/Insektenschutz%20in%20Kommunen/" TargetMode="External"/><Relationship Id="rId34" Type="http://schemas.openxmlformats.org/officeDocument/2006/relationships/hyperlink" Target="https://www.grde.e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r.de/meinung/gastbeitraege/kommunen-muessen-investieren-90784575.html" TargetMode="External"/><Relationship Id="rId17" Type="http://schemas.openxmlformats.org/officeDocument/2006/relationships/hyperlink" Target="file:///H:\DStGB%20aktuell\0921%20Vorlage.docx" TargetMode="External"/><Relationship Id="rId25" Type="http://schemas.openxmlformats.org/officeDocument/2006/relationships/hyperlink" Target="https://www.agora-verkehrswende.de/fileadmin/Projekte/2021/T30/Positionspapier__Staedteinitiative_Tempo30_050721_oU.pdf" TargetMode="External"/><Relationship Id="rId33" Type="http://schemas.openxmlformats.org/officeDocument/2006/relationships/hyperlink" Target="https://conference.grde.eu/" TargetMode="External"/><Relationship Id="rId38" Type="http://schemas.openxmlformats.org/officeDocument/2006/relationships/hyperlink" Target="http://www.habbel.de" TargetMode="External"/><Relationship Id="rId2" Type="http://schemas.openxmlformats.org/officeDocument/2006/relationships/numbering" Target="numbering.xml"/><Relationship Id="rId16" Type="http://schemas.openxmlformats.org/officeDocument/2006/relationships/hyperlink" Target="https://www.rkw-kompetenzzentrum.de/gruendung/gruendungskultur/europaeischer-unternehmensfoerderpreis/" TargetMode="External"/><Relationship Id="rId20" Type="http://schemas.openxmlformats.org/officeDocument/2006/relationships/hyperlink" Target="https://dserver.bundestag.de/btd/19/281/1928182.pdf" TargetMode="External"/><Relationship Id="rId29" Type="http://schemas.openxmlformats.org/officeDocument/2006/relationships/hyperlink" Target="https://service.destatis.de/DE/verkehrsunfallkalender/"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tgb.de/publikationen/pressemitteilungen/planungssicherheit-fuer-kommunen-und-bauwirtschaft/" TargetMode="External"/><Relationship Id="rId24" Type="http://schemas.openxmlformats.org/officeDocument/2006/relationships/hyperlink" Target="file:///H:\DStGB%20aktuell\0921%20Vorlage.docx" TargetMode="External"/><Relationship Id="rId32" Type="http://schemas.openxmlformats.org/officeDocument/2006/relationships/hyperlink" Target="https://oberlandesgericht-celle.niedersachsen.de/startseite/aktuelles/presseinformationen/geschwindigkeitsmessungen-mit-dem-messgerat-leivtec-xv3-sind-nicht-immer-zuverlassig-genug-202072.html" TargetMode="External"/><Relationship Id="rId37" Type="http://schemas.openxmlformats.org/officeDocument/2006/relationships/hyperlink" Target="https://182877.seu2.cleverreach.com/c/60483736/8e91ae5f22-qvpmws"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undesnetzagentur.de/SharedDocs/Pressemitteilungen/DE/2021/20210701_Altersreihungkohle.html?nn=265778" TargetMode="External"/><Relationship Id="rId23" Type="http://schemas.openxmlformats.org/officeDocument/2006/relationships/hyperlink" Target="http://www.kfw.de/264" TargetMode="External"/><Relationship Id="rId28" Type="http://schemas.openxmlformats.org/officeDocument/2006/relationships/hyperlink" Target="https://unfallatlas.statistikportal.de/" TargetMode="External"/><Relationship Id="rId36" Type="http://schemas.openxmlformats.org/officeDocument/2006/relationships/hyperlink" Target="https://182877.seu2.cleverreach.com/c/60483739/8e91ae5f22-qvpmws" TargetMode="External"/><Relationship Id="rId10" Type="http://schemas.openxmlformats.org/officeDocument/2006/relationships/hyperlink" Target="https://www.destatis.de/DE/Themen/Staat/Oeffentliche-Finanzen/Schulden-Finanzvermoegen/Publikationen/Downloads-Schulden/vorl-schulden-oeffentlicher-haushalte-2140520213215.xlsx?__blob=publicationFile" TargetMode="External"/><Relationship Id="rId19" Type="http://schemas.openxmlformats.org/officeDocument/2006/relationships/hyperlink" Target="file:///H:\DStGB%20aktuell\0921%20Vorlage.docx" TargetMode="External"/><Relationship Id="rId31" Type="http://schemas.openxmlformats.org/officeDocument/2006/relationships/hyperlink" Target="https://www.dstgb.de/themen/mobilitaet/verkehrssicherheit/" TargetMode="External"/><Relationship Id="rId4" Type="http://schemas.openxmlformats.org/officeDocument/2006/relationships/settings" Target="settings.xml"/><Relationship Id="rId9" Type="http://schemas.openxmlformats.org/officeDocument/2006/relationships/hyperlink" Target="https://www.dstgb.de/publikationen/positionspapiere/" TargetMode="External"/><Relationship Id="rId14" Type="http://schemas.openxmlformats.org/officeDocument/2006/relationships/hyperlink" Target="https://www.bundesnetzagentur.de/DE/Sachgebiete/ElektrizitaetundGas/Unternehmen_Institutionen/Kohleausstieg/Altersreihung/start.html;jsessionid=8C5EFA376BE96656CB6956577BC4DEB5" TargetMode="External"/><Relationship Id="rId22" Type="http://schemas.openxmlformats.org/officeDocument/2006/relationships/hyperlink" Target="file:///H:\DStGB%20aktuell\0921%20Vorlage.docx" TargetMode="External"/><Relationship Id="rId27" Type="http://schemas.openxmlformats.org/officeDocument/2006/relationships/hyperlink" Target="https://www.destatis.de/DE/Themen/Gesellschaft-Umwelt/Verkehrsunfaelle/_inhalt.html" TargetMode="External"/><Relationship Id="rId30" Type="http://schemas.openxmlformats.org/officeDocument/2006/relationships/hyperlink" Target="https://dip21.bundestag.de/dip21/btd/19/297/1929766.pdf" TargetMode="External"/><Relationship Id="rId35" Type="http://schemas.openxmlformats.org/officeDocument/2006/relationships/hyperlink" Target="https://www.dstgb.de/aktuelles/2021/kommunen-gestalten-ernaehrung/"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dstgb.de/" TargetMode="External"/><Relationship Id="rId1" Type="http://schemas.openxmlformats.org/officeDocument/2006/relationships/hyperlink" Target="mailto:dstgb@dstgb.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32DB9-6BCB-482C-90A2-A88AC11FC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10117</Words>
  <Characters>77794</Characters>
  <Application>Microsoft Office Word</Application>
  <DocSecurity>0</DocSecurity>
  <Lines>648</Lines>
  <Paragraphs>175</Paragraphs>
  <ScaleCrop>false</ScaleCrop>
  <HeadingPairs>
    <vt:vector size="2" baseType="variant">
      <vt:variant>
        <vt:lpstr>Titel</vt:lpstr>
      </vt:variant>
      <vt:variant>
        <vt:i4>1</vt:i4>
      </vt:variant>
    </vt:vector>
  </HeadingPairs>
  <TitlesOfParts>
    <vt:vector size="1" baseType="lpstr">
      <vt:lpstr>01-98-01	Kombilohn/Freibeträge bei der Anrechnung von Erwerbs-</vt:lpstr>
    </vt:vector>
  </TitlesOfParts>
  <Company>Berlin</Company>
  <LinksUpToDate>false</LinksUpToDate>
  <CharactersWithSpaces>87736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01-98-01	Kombilohn/Freibeträge bei der Anrechnung von Erwerbs-</dc:title>
  <dc:subject/>
  <dc:creator>Fr. Heider</dc:creator>
  <cp:keywords/>
  <cp:lastModifiedBy>Ramin, Renee</cp:lastModifiedBy>
  <cp:revision>3</cp:revision>
  <cp:lastPrinted>2021-07-09T12:17:00Z</cp:lastPrinted>
  <dcterms:created xsi:type="dcterms:W3CDTF">2021-07-09T12:17:00Z</dcterms:created>
  <dcterms:modified xsi:type="dcterms:W3CDTF">2021-07-09T12:18:00Z</dcterms:modified>
</cp:coreProperties>
</file>